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7FE6" w14:textId="77777777" w:rsidR="005C6693" w:rsidRDefault="005C6693"/>
    <w:p w14:paraId="1CC03650" w14:textId="77777777" w:rsidR="005C6693" w:rsidRDefault="005C6693"/>
    <w:p w14:paraId="598FA46F" w14:textId="470FB9FC" w:rsidR="00503998" w:rsidRDefault="00F80161" w:rsidP="005C6693">
      <w:r>
        <w:t xml:space="preserve">Communiqué de presse </w:t>
      </w:r>
    </w:p>
    <w:p w14:paraId="3FB12912" w14:textId="6188D63C" w:rsidR="00111B46" w:rsidRDefault="00F80161">
      <w:pPr>
        <w:jc w:val="right"/>
      </w:pPr>
      <w:r>
        <w:t xml:space="preserve">Le </w:t>
      </w:r>
      <w:r w:rsidR="003F2D6C">
        <w:t>15</w:t>
      </w:r>
      <w:r>
        <w:t xml:space="preserve"> septembre 2021, Paris</w:t>
      </w:r>
    </w:p>
    <w:p w14:paraId="3FB12913" w14:textId="77777777" w:rsidR="00111B46" w:rsidRDefault="00111B46"/>
    <w:p w14:paraId="25A7C6BE" w14:textId="4489FC88" w:rsidR="003A6CEF" w:rsidRDefault="003A6CEF">
      <w:pPr>
        <w:jc w:val="center"/>
        <w:rPr>
          <w:b/>
        </w:rPr>
      </w:pPr>
      <w:r>
        <w:rPr>
          <w:b/>
        </w:rPr>
        <w:t>Restauration scolaire : passage aux contenants réemployables</w:t>
      </w:r>
      <w:r w:rsidR="00D92AA4">
        <w:rPr>
          <w:b/>
        </w:rPr>
        <w:t xml:space="preserve"> en inox</w:t>
      </w:r>
    </w:p>
    <w:p w14:paraId="3FB12914" w14:textId="795ED4A8" w:rsidR="00111B46" w:rsidRDefault="00F80161">
      <w:pPr>
        <w:jc w:val="center"/>
        <w:rPr>
          <w:b/>
        </w:rPr>
      </w:pPr>
      <w:r>
        <w:rPr>
          <w:b/>
        </w:rPr>
        <w:t xml:space="preserve">Résultats de l’étude d’impact environnemental </w:t>
      </w:r>
      <w:r w:rsidR="00640D8C">
        <w:rPr>
          <w:b/>
        </w:rPr>
        <w:t xml:space="preserve">engagé par le </w:t>
      </w:r>
      <w:r>
        <w:rPr>
          <w:b/>
        </w:rPr>
        <w:t xml:space="preserve">groupe </w:t>
      </w:r>
      <w:r w:rsidR="00210B08">
        <w:rPr>
          <w:b/>
        </w:rPr>
        <w:t xml:space="preserve">de travail </w:t>
      </w:r>
      <w:r w:rsidR="00836BE9">
        <w:rPr>
          <w:b/>
        </w:rPr>
        <w:t>RECOLIM</w:t>
      </w:r>
    </w:p>
    <w:p w14:paraId="3FB12916" w14:textId="77777777" w:rsidR="00111B46" w:rsidRDefault="00F80161">
      <w:pPr>
        <w:jc w:val="both"/>
      </w:pPr>
      <w:r>
        <w:rPr>
          <w:noProof/>
        </w:rPr>
        <w:drawing>
          <wp:anchor distT="114300" distB="114300" distL="114300" distR="114300" simplePos="0" relativeHeight="251658241" behindDoc="0" locked="0" layoutInCell="1" hidden="0" allowOverlap="1" wp14:anchorId="3FB1295A" wp14:editId="3FB1295B">
            <wp:simplePos x="0" y="0"/>
            <wp:positionH relativeFrom="column">
              <wp:posOffset>1</wp:posOffset>
            </wp:positionH>
            <wp:positionV relativeFrom="paragraph">
              <wp:posOffset>193788</wp:posOffset>
            </wp:positionV>
            <wp:extent cx="2427450" cy="100012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7277" t="26134" r="20837"/>
                    <a:stretch>
                      <a:fillRect/>
                    </a:stretch>
                  </pic:blipFill>
                  <pic:spPr>
                    <a:xfrm>
                      <a:off x="0" y="0"/>
                      <a:ext cx="2427450" cy="1000125"/>
                    </a:xfrm>
                    <a:prstGeom prst="rect">
                      <a:avLst/>
                    </a:prstGeom>
                    <a:ln/>
                  </pic:spPr>
                </pic:pic>
              </a:graphicData>
            </a:graphic>
          </wp:anchor>
        </w:drawing>
      </w:r>
    </w:p>
    <w:p w14:paraId="3FB12919" w14:textId="14A992F0" w:rsidR="00111B46" w:rsidRDefault="00836BE9">
      <w:pPr>
        <w:jc w:val="both"/>
      </w:pPr>
      <w:r>
        <w:t>Fin 2020, l</w:t>
      </w:r>
      <w:r w:rsidR="00F80161">
        <w:t>e groupe</w:t>
      </w:r>
      <w:r w:rsidR="00210B08">
        <w:t xml:space="preserve"> de travail </w:t>
      </w:r>
      <w:r w:rsidR="00F80161">
        <w:t>R</w:t>
      </w:r>
      <w:r w:rsidR="00FF138B">
        <w:t>ECOLIM</w:t>
      </w:r>
      <w:r w:rsidR="00593DE6">
        <w:t>*</w:t>
      </w:r>
      <w:r w:rsidR="00F80161">
        <w:t xml:space="preserve"> </w:t>
      </w:r>
      <w:r w:rsidR="009A0051">
        <w:t>décide</w:t>
      </w:r>
      <w:r w:rsidR="00F80161">
        <w:t xml:space="preserve"> de missionner </w:t>
      </w:r>
      <w:r w:rsidR="00133972">
        <w:t>le</w:t>
      </w:r>
      <w:r w:rsidR="00F80161">
        <w:t xml:space="preserve"> cabinet d’expertise Bleu Safran pour mener une étude comparative d’impact environnemental,</w:t>
      </w:r>
      <w:r w:rsidR="003F74F5">
        <w:t xml:space="preserve"> </w:t>
      </w:r>
      <w:r w:rsidR="00F80161">
        <w:t>entre contenants plastiques et contenants réemployables en inox.</w:t>
      </w:r>
    </w:p>
    <w:p w14:paraId="3FB1291A" w14:textId="77777777" w:rsidR="00111B46" w:rsidRDefault="00111B46">
      <w:pPr>
        <w:jc w:val="both"/>
      </w:pPr>
    </w:p>
    <w:p w14:paraId="7077B902" w14:textId="5392A757" w:rsidR="00801A05" w:rsidRDefault="00F80161">
      <w:pPr>
        <w:jc w:val="both"/>
      </w:pPr>
      <w:r>
        <w:t xml:space="preserve">Cette étude </w:t>
      </w:r>
      <w:r w:rsidR="00D92AA4">
        <w:t xml:space="preserve">donne </w:t>
      </w:r>
      <w:r>
        <w:t xml:space="preserve">des </w:t>
      </w:r>
      <w:r w:rsidR="00AF54F1">
        <w:t>orientations</w:t>
      </w:r>
      <w:r>
        <w:t xml:space="preserve"> pour </w:t>
      </w:r>
      <w:r w:rsidR="00133972">
        <w:t xml:space="preserve">appréhender </w:t>
      </w:r>
      <w:r w:rsidR="00853654">
        <w:t>les impacts</w:t>
      </w:r>
      <w:r w:rsidR="00AF54F1">
        <w:t xml:space="preserve"> environnementaux</w:t>
      </w:r>
      <w:r w:rsidR="00853654">
        <w:t xml:space="preserve"> </w:t>
      </w:r>
      <w:r w:rsidR="00542491">
        <w:t xml:space="preserve">de la transition vers des contenants réemployables </w:t>
      </w:r>
      <w:r w:rsidR="00FE7421">
        <w:t>dans le cadre de la loi Egalim</w:t>
      </w:r>
      <w:r w:rsidR="00870876">
        <w:t>,</w:t>
      </w:r>
      <w:r w:rsidR="00FE7421">
        <w:t xml:space="preserve"> qui interdit des contenants de cuisson, de réchauffe</w:t>
      </w:r>
      <w:r w:rsidR="00815DC3">
        <w:t xml:space="preserve"> et de service en plastique à échéance </w:t>
      </w:r>
      <w:r w:rsidR="005E58F0">
        <w:t xml:space="preserve">de janvier </w:t>
      </w:r>
      <w:r w:rsidR="00815DC3">
        <w:t>2025.</w:t>
      </w:r>
    </w:p>
    <w:p w14:paraId="3FB1291B" w14:textId="2CDB2F5F" w:rsidR="00111B46" w:rsidRDefault="00F80161">
      <w:pPr>
        <w:jc w:val="both"/>
      </w:pPr>
      <w:r>
        <w:t xml:space="preserve">Elle </w:t>
      </w:r>
      <w:r w:rsidR="00870876">
        <w:t>contribue</w:t>
      </w:r>
      <w:r w:rsidR="00183BA2">
        <w:t xml:space="preserve"> </w:t>
      </w:r>
      <w:r w:rsidR="00B33B78">
        <w:t>à la r</w:t>
      </w:r>
      <w:r w:rsidR="004D235A">
        <w:t>é</w:t>
      </w:r>
      <w:r w:rsidR="00B33B78">
        <w:t>flexion</w:t>
      </w:r>
      <w:r w:rsidR="00376185">
        <w:t xml:space="preserve"> </w:t>
      </w:r>
      <w:r w:rsidR="004D235A">
        <w:t xml:space="preserve">à </w:t>
      </w:r>
      <w:r>
        <w:t>mener</w:t>
      </w:r>
      <w:r w:rsidR="004D235A">
        <w:t xml:space="preserve"> autour de</w:t>
      </w:r>
      <w:r>
        <w:t xml:space="preserve"> </w:t>
      </w:r>
      <w:r w:rsidR="00376185">
        <w:t>la</w:t>
      </w:r>
      <w:r>
        <w:t xml:space="preserve"> transformation des process et usages dans la restauration </w:t>
      </w:r>
      <w:r w:rsidR="00120897">
        <w:t>scolaire</w:t>
      </w:r>
      <w:r>
        <w:t xml:space="preserve">. </w:t>
      </w:r>
    </w:p>
    <w:p w14:paraId="3FB1291C" w14:textId="0661C0F3" w:rsidR="00111B46" w:rsidRDefault="00F80161">
      <w:pPr>
        <w:jc w:val="both"/>
      </w:pPr>
      <w:r>
        <w:t xml:space="preserve">Bien que cette étude n’ait pas fait l’objet d’une revue </w:t>
      </w:r>
      <w:r w:rsidR="00B64DFB" w:rsidRPr="003C4D13">
        <w:t xml:space="preserve">critique </w:t>
      </w:r>
      <w:r>
        <w:t xml:space="preserve">au sens des normes </w:t>
      </w:r>
      <w:r w:rsidRPr="003C4D13">
        <w:t xml:space="preserve">ISO </w:t>
      </w:r>
      <w:r w:rsidR="00B64DFB" w:rsidRPr="003C4D13">
        <w:t xml:space="preserve">14040 : 2006 et </w:t>
      </w:r>
      <w:r w:rsidRPr="003C4D13">
        <w:t>14044:2006</w:t>
      </w:r>
      <w:r>
        <w:t xml:space="preserve">, les membres du groupe </w:t>
      </w:r>
      <w:r w:rsidR="00687AFB">
        <w:t xml:space="preserve">de travail </w:t>
      </w:r>
      <w:r>
        <w:t>RECOLIM partage</w:t>
      </w:r>
      <w:r w:rsidR="00183BA2">
        <w:t>nt</w:t>
      </w:r>
      <w:r>
        <w:t xml:space="preserve"> </w:t>
      </w:r>
      <w:r w:rsidR="00376185">
        <w:t>les</w:t>
      </w:r>
      <w:r>
        <w:t xml:space="preserve"> enseignements</w:t>
      </w:r>
      <w:r w:rsidR="00376185">
        <w:t xml:space="preserve"> principaux</w:t>
      </w:r>
      <w:r>
        <w:t>, tout comme cela avait été fait pour les expérimentations, dans le but de permettre à l’ensemble des acteurs publics d’avancer sur cette problématique.</w:t>
      </w:r>
    </w:p>
    <w:p w14:paraId="3FB1291D" w14:textId="77777777" w:rsidR="00111B46" w:rsidRDefault="00111B46">
      <w:pPr>
        <w:jc w:val="both"/>
      </w:pPr>
    </w:p>
    <w:p w14:paraId="3FB1292D" w14:textId="4CA65277" w:rsidR="00111B46" w:rsidRPr="00056E01" w:rsidRDefault="00CE64ED">
      <w:pPr>
        <w:jc w:val="both"/>
        <w:rPr>
          <w:b/>
          <w:color w:val="674EA7"/>
        </w:rPr>
      </w:pPr>
      <w:r w:rsidRPr="005E183F">
        <w:rPr>
          <w:b/>
          <w:color w:val="674EA7"/>
        </w:rPr>
        <w:t>Les modalités de</w:t>
      </w:r>
      <w:r w:rsidR="00F80161" w:rsidRPr="005E183F">
        <w:rPr>
          <w:b/>
          <w:color w:val="674EA7"/>
        </w:rPr>
        <w:t xml:space="preserve"> </w:t>
      </w:r>
      <w:r w:rsidRPr="005E183F">
        <w:rPr>
          <w:b/>
          <w:color w:val="674EA7"/>
        </w:rPr>
        <w:t>l’</w:t>
      </w:r>
      <w:r w:rsidR="00F80161" w:rsidRPr="005E183F">
        <w:rPr>
          <w:b/>
          <w:color w:val="674EA7"/>
        </w:rPr>
        <w:t xml:space="preserve">étude d’impact environnemental </w:t>
      </w:r>
    </w:p>
    <w:p w14:paraId="35952EDD" w14:textId="5DCF4A24" w:rsidR="00687AFB" w:rsidRDefault="00687AFB">
      <w:pPr>
        <w:jc w:val="both"/>
        <w:rPr>
          <w:b/>
          <w:color w:val="674EA7"/>
        </w:rPr>
      </w:pPr>
    </w:p>
    <w:p w14:paraId="4CEEF185" w14:textId="151B7132" w:rsidR="00CE64ED" w:rsidRDefault="00E5495E" w:rsidP="00331DDA">
      <w:pPr>
        <w:jc w:val="both"/>
        <w:rPr>
          <w:bCs/>
        </w:rPr>
      </w:pPr>
      <w:r w:rsidRPr="00691EE3">
        <w:rPr>
          <w:bCs/>
        </w:rPr>
        <w:t xml:space="preserve">Bleu safran </w:t>
      </w:r>
      <w:r w:rsidR="00AE1BA3" w:rsidRPr="00691EE3">
        <w:rPr>
          <w:bCs/>
        </w:rPr>
        <w:t>s</w:t>
      </w:r>
      <w:r w:rsidRPr="00691EE3">
        <w:rPr>
          <w:bCs/>
        </w:rPr>
        <w:t>’est appuyé sur les équipes impliqué</w:t>
      </w:r>
      <w:r w:rsidR="00AE1BA3" w:rsidRPr="00691EE3">
        <w:rPr>
          <w:bCs/>
        </w:rPr>
        <w:t>e</w:t>
      </w:r>
      <w:r w:rsidRPr="00691EE3">
        <w:rPr>
          <w:bCs/>
        </w:rPr>
        <w:t xml:space="preserve">s </w:t>
      </w:r>
      <w:r w:rsidR="00010A94">
        <w:rPr>
          <w:bCs/>
        </w:rPr>
        <w:t>au sein du groupe R</w:t>
      </w:r>
      <w:r w:rsidR="00FF138B">
        <w:rPr>
          <w:bCs/>
        </w:rPr>
        <w:t>ECOLIM</w:t>
      </w:r>
      <w:r w:rsidRPr="00691EE3">
        <w:rPr>
          <w:bCs/>
        </w:rPr>
        <w:t xml:space="preserve"> pour définir </w:t>
      </w:r>
      <w:r w:rsidR="007627A3" w:rsidRPr="00691EE3">
        <w:rPr>
          <w:bCs/>
        </w:rPr>
        <w:t>un cas</w:t>
      </w:r>
      <w:r w:rsidR="00010A94">
        <w:rPr>
          <w:bCs/>
        </w:rPr>
        <w:t xml:space="preserve"> d’usage</w:t>
      </w:r>
      <w:r w:rsidR="00CA6315">
        <w:rPr>
          <w:bCs/>
        </w:rPr>
        <w:t xml:space="preserve"> à </w:t>
      </w:r>
      <w:r w:rsidR="002039AE">
        <w:rPr>
          <w:bCs/>
        </w:rPr>
        <w:t>analyser</w:t>
      </w:r>
      <w:r w:rsidR="000A3E73">
        <w:rPr>
          <w:bCs/>
        </w:rPr>
        <w:t xml:space="preserve"> </w:t>
      </w:r>
      <w:r w:rsidR="001E59AE">
        <w:rPr>
          <w:bCs/>
        </w:rPr>
        <w:t>(cuisses de poulet et haricots verts) selon le mode de cuisson utilisé sur les trois cuisines centrales</w:t>
      </w:r>
      <w:r w:rsidR="002039AE">
        <w:rPr>
          <w:bCs/>
        </w:rPr>
        <w:t>.</w:t>
      </w:r>
      <w:r w:rsidR="00EC5BFB">
        <w:rPr>
          <w:bCs/>
        </w:rPr>
        <w:t xml:space="preserve"> </w:t>
      </w:r>
      <w:r w:rsidR="00331DDA">
        <w:rPr>
          <w:bCs/>
        </w:rPr>
        <w:t>Le cabinet expert a</w:t>
      </w:r>
      <w:r w:rsidR="00AE1BA3" w:rsidRPr="00691EE3">
        <w:rPr>
          <w:bCs/>
        </w:rPr>
        <w:t xml:space="preserve"> recueilli auprès des techniciens</w:t>
      </w:r>
      <w:r w:rsidR="00E379C7" w:rsidRPr="00691EE3">
        <w:rPr>
          <w:bCs/>
        </w:rPr>
        <w:t>, les modalités organisationnelles actuelles et celles projetés pour établir une évaluation la plus fine possible</w:t>
      </w:r>
      <w:r w:rsidR="006F243C">
        <w:rPr>
          <w:bCs/>
        </w:rPr>
        <w:t>.</w:t>
      </w:r>
    </w:p>
    <w:p w14:paraId="24D2F076" w14:textId="77777777" w:rsidR="0080654C" w:rsidRDefault="0080654C" w:rsidP="00331DDA">
      <w:pPr>
        <w:jc w:val="both"/>
        <w:rPr>
          <w:bCs/>
        </w:rPr>
      </w:pPr>
    </w:p>
    <w:p w14:paraId="6512A7E6" w14:textId="6FA6306A" w:rsidR="00CE64ED" w:rsidRDefault="00CE64ED" w:rsidP="00CE64ED">
      <w:pPr>
        <w:jc w:val="both"/>
      </w:pPr>
      <w:r>
        <w:t>Les principales étapes de la chaîne de restauration (conditionnement, transport, lavage…) ont été analysées au travers de quatre indicateurs</w:t>
      </w:r>
      <w:r w:rsidR="005E183F">
        <w:t xml:space="preserve"> </w:t>
      </w:r>
      <w:r>
        <w:t>:</w:t>
      </w:r>
    </w:p>
    <w:p w14:paraId="2E739D17" w14:textId="77777777" w:rsidR="0080654C" w:rsidRDefault="0080654C" w:rsidP="00B142B1">
      <w:pPr>
        <w:jc w:val="both"/>
        <w:sectPr w:rsidR="0080654C" w:rsidSect="00210B08">
          <w:pgSz w:w="11909" w:h="16834"/>
          <w:pgMar w:top="1440" w:right="1136" w:bottom="1440" w:left="1440" w:header="720" w:footer="720" w:gutter="0"/>
          <w:pgNumType w:start="1"/>
          <w:cols w:space="720"/>
        </w:sectPr>
      </w:pPr>
    </w:p>
    <w:p w14:paraId="26ECB502" w14:textId="1F2D787A" w:rsidR="00AD4117" w:rsidRPr="00227CAC" w:rsidRDefault="00AD4117" w:rsidP="0080654C">
      <w:pPr>
        <w:pStyle w:val="Paragraphedeliste"/>
        <w:numPr>
          <w:ilvl w:val="0"/>
          <w:numId w:val="7"/>
        </w:numPr>
        <w:jc w:val="both"/>
        <w:rPr>
          <w:sz w:val="16"/>
          <w:szCs w:val="16"/>
        </w:rPr>
      </w:pPr>
      <w:r w:rsidRPr="00227CAC">
        <w:rPr>
          <w:sz w:val="16"/>
          <w:szCs w:val="16"/>
        </w:rPr>
        <w:t>Contribution au changement climatique (en Kg équivalent Co2)</w:t>
      </w:r>
    </w:p>
    <w:p w14:paraId="3A92F581" w14:textId="23FD9484" w:rsidR="00AD4117" w:rsidRPr="00227CAC" w:rsidRDefault="00AD4117" w:rsidP="0080654C">
      <w:pPr>
        <w:pStyle w:val="Paragraphedeliste"/>
        <w:numPr>
          <w:ilvl w:val="0"/>
          <w:numId w:val="7"/>
        </w:numPr>
        <w:jc w:val="both"/>
        <w:rPr>
          <w:sz w:val="16"/>
          <w:szCs w:val="16"/>
        </w:rPr>
      </w:pPr>
      <w:r w:rsidRPr="00227CAC">
        <w:rPr>
          <w:sz w:val="16"/>
          <w:szCs w:val="16"/>
        </w:rPr>
        <w:t>Epuisement des ressources énergétiques (en mégajoules)</w:t>
      </w:r>
    </w:p>
    <w:p w14:paraId="52375921" w14:textId="731D8DAE" w:rsidR="00AD4117" w:rsidRPr="00227CAC" w:rsidRDefault="00AD4117" w:rsidP="0080654C">
      <w:pPr>
        <w:pStyle w:val="Paragraphedeliste"/>
        <w:numPr>
          <w:ilvl w:val="0"/>
          <w:numId w:val="7"/>
        </w:numPr>
        <w:jc w:val="both"/>
        <w:rPr>
          <w:sz w:val="16"/>
          <w:szCs w:val="16"/>
        </w:rPr>
      </w:pPr>
      <w:r w:rsidRPr="00227CAC">
        <w:rPr>
          <w:sz w:val="16"/>
          <w:szCs w:val="16"/>
        </w:rPr>
        <w:t>Epuisement des ressources minérales (</w:t>
      </w:r>
      <w:r w:rsidR="0080654C" w:rsidRPr="00227CAC">
        <w:rPr>
          <w:sz w:val="16"/>
          <w:szCs w:val="16"/>
        </w:rPr>
        <w:t>en g équivalent antimoine)</w:t>
      </w:r>
    </w:p>
    <w:p w14:paraId="4FD1388E" w14:textId="4AA05823" w:rsidR="0080654C" w:rsidRPr="00227CAC" w:rsidRDefault="0080654C" w:rsidP="0080654C">
      <w:pPr>
        <w:pStyle w:val="Paragraphedeliste"/>
        <w:numPr>
          <w:ilvl w:val="0"/>
          <w:numId w:val="7"/>
        </w:numPr>
        <w:jc w:val="both"/>
        <w:rPr>
          <w:sz w:val="16"/>
          <w:szCs w:val="16"/>
        </w:rPr>
      </w:pPr>
      <w:r w:rsidRPr="00227CAC">
        <w:rPr>
          <w:sz w:val="16"/>
          <w:szCs w:val="16"/>
        </w:rPr>
        <w:t>Consommation nette d’eau (en litre)</w:t>
      </w:r>
    </w:p>
    <w:p w14:paraId="4E007E7D" w14:textId="77777777" w:rsidR="0080654C" w:rsidRDefault="0080654C" w:rsidP="00CE64ED">
      <w:pPr>
        <w:jc w:val="both"/>
        <w:sectPr w:rsidR="0080654C" w:rsidSect="00B142B1">
          <w:type w:val="continuous"/>
          <w:pgSz w:w="11909" w:h="16834"/>
          <w:pgMar w:top="1440" w:right="1136" w:bottom="1440" w:left="1440" w:header="720" w:footer="720" w:gutter="0"/>
          <w:pgNumType w:start="1"/>
          <w:cols w:space="720"/>
        </w:sectPr>
      </w:pPr>
    </w:p>
    <w:p w14:paraId="17C00F94" w14:textId="7ACC86B0" w:rsidR="00CE64ED" w:rsidRDefault="00CE64ED" w:rsidP="00CE64ED">
      <w:pPr>
        <w:jc w:val="both"/>
      </w:pPr>
    </w:p>
    <w:p w14:paraId="2AB10873" w14:textId="7237D395" w:rsidR="00644D9D" w:rsidRDefault="00F94056" w:rsidP="00156098">
      <w:pPr>
        <w:jc w:val="both"/>
        <w:sectPr w:rsidR="00644D9D" w:rsidSect="0080654C">
          <w:type w:val="continuous"/>
          <w:pgSz w:w="11909" w:h="16834"/>
          <w:pgMar w:top="1440" w:right="1136" w:bottom="1440" w:left="1440" w:header="720" w:footer="720" w:gutter="0"/>
          <w:pgNumType w:start="1"/>
          <w:cols w:space="720"/>
        </w:sectPr>
      </w:pPr>
      <w:r>
        <w:t>Pour cha</w:t>
      </w:r>
      <w:r w:rsidR="00861711">
        <w:t xml:space="preserve">cun des indicateurs, </w:t>
      </w:r>
      <w:r w:rsidR="0077479A">
        <w:t>les paramètres clés ont été pris en compte</w:t>
      </w:r>
      <w:r w:rsidR="00D82718" w:rsidRPr="003C4D13">
        <w:t> :</w:t>
      </w:r>
      <w:r w:rsidR="00D82718">
        <w:rPr>
          <w:strike/>
        </w:rPr>
        <w:t xml:space="preserve"> </w:t>
      </w:r>
    </w:p>
    <w:p w14:paraId="47AD2D2F" w14:textId="2D36CF07" w:rsidR="00CE64ED" w:rsidRPr="00227CAC" w:rsidRDefault="00CE64ED" w:rsidP="00CE64ED">
      <w:pPr>
        <w:numPr>
          <w:ilvl w:val="0"/>
          <w:numId w:val="1"/>
        </w:numPr>
        <w:jc w:val="both"/>
        <w:rPr>
          <w:sz w:val="16"/>
          <w:szCs w:val="16"/>
        </w:rPr>
      </w:pPr>
      <w:r w:rsidRPr="00227CAC">
        <w:rPr>
          <w:sz w:val="16"/>
          <w:szCs w:val="16"/>
        </w:rPr>
        <w:t>Fabrication des contenants</w:t>
      </w:r>
    </w:p>
    <w:p w14:paraId="59AB457B" w14:textId="77777777" w:rsidR="00CE64ED" w:rsidRPr="00227CAC" w:rsidRDefault="00CE64ED" w:rsidP="00CE64ED">
      <w:pPr>
        <w:numPr>
          <w:ilvl w:val="0"/>
          <w:numId w:val="1"/>
        </w:numPr>
        <w:rPr>
          <w:sz w:val="16"/>
          <w:szCs w:val="16"/>
        </w:rPr>
      </w:pPr>
      <w:r w:rsidRPr="00227CAC">
        <w:rPr>
          <w:sz w:val="16"/>
          <w:szCs w:val="16"/>
        </w:rPr>
        <w:t>Fabrication cagette, socle rouleur</w:t>
      </w:r>
    </w:p>
    <w:p w14:paraId="1A955E9F" w14:textId="77777777" w:rsidR="00CE64ED" w:rsidRPr="00227CAC" w:rsidRDefault="00CE64ED" w:rsidP="00CE64ED">
      <w:pPr>
        <w:numPr>
          <w:ilvl w:val="0"/>
          <w:numId w:val="1"/>
        </w:numPr>
        <w:rPr>
          <w:sz w:val="16"/>
          <w:szCs w:val="16"/>
        </w:rPr>
      </w:pPr>
      <w:r w:rsidRPr="00227CAC">
        <w:rPr>
          <w:sz w:val="16"/>
          <w:szCs w:val="16"/>
        </w:rPr>
        <w:t>Capacité des contenants</w:t>
      </w:r>
    </w:p>
    <w:p w14:paraId="6F5BB28E" w14:textId="77777777" w:rsidR="00CE64ED" w:rsidRPr="00227CAC" w:rsidRDefault="00CE64ED" w:rsidP="00CE64ED">
      <w:pPr>
        <w:numPr>
          <w:ilvl w:val="0"/>
          <w:numId w:val="1"/>
        </w:numPr>
        <w:rPr>
          <w:sz w:val="16"/>
          <w:szCs w:val="16"/>
        </w:rPr>
      </w:pPr>
      <w:r w:rsidRPr="00227CAC">
        <w:rPr>
          <w:sz w:val="16"/>
          <w:szCs w:val="16"/>
        </w:rPr>
        <w:t>Allotissement, livraison</w:t>
      </w:r>
    </w:p>
    <w:p w14:paraId="2BDDE5A7" w14:textId="77777777" w:rsidR="00CE64ED" w:rsidRPr="00227CAC" w:rsidRDefault="00CE64ED" w:rsidP="00CE64ED">
      <w:pPr>
        <w:numPr>
          <w:ilvl w:val="0"/>
          <w:numId w:val="1"/>
        </w:numPr>
        <w:rPr>
          <w:sz w:val="16"/>
          <w:szCs w:val="16"/>
        </w:rPr>
      </w:pPr>
      <w:r w:rsidRPr="00227CAC">
        <w:rPr>
          <w:sz w:val="16"/>
          <w:szCs w:val="16"/>
        </w:rPr>
        <w:t>Lavage</w:t>
      </w:r>
    </w:p>
    <w:p w14:paraId="7ABFF914" w14:textId="77777777" w:rsidR="00CE64ED" w:rsidRPr="00227CAC" w:rsidRDefault="00CE64ED" w:rsidP="00CE64ED">
      <w:pPr>
        <w:numPr>
          <w:ilvl w:val="0"/>
          <w:numId w:val="1"/>
        </w:numPr>
        <w:rPr>
          <w:sz w:val="16"/>
          <w:szCs w:val="16"/>
        </w:rPr>
      </w:pPr>
      <w:r w:rsidRPr="00227CAC">
        <w:rPr>
          <w:sz w:val="16"/>
          <w:szCs w:val="16"/>
        </w:rPr>
        <w:t>Transport si lavage externalisé</w:t>
      </w:r>
    </w:p>
    <w:p w14:paraId="5E130B92" w14:textId="502BB604" w:rsidR="00E635B1" w:rsidRPr="00227CAC" w:rsidRDefault="00CE64ED" w:rsidP="00CE64ED">
      <w:pPr>
        <w:numPr>
          <w:ilvl w:val="0"/>
          <w:numId w:val="1"/>
        </w:numPr>
        <w:rPr>
          <w:sz w:val="16"/>
          <w:szCs w:val="16"/>
        </w:rPr>
      </w:pPr>
      <w:r w:rsidRPr="00227CAC">
        <w:rPr>
          <w:sz w:val="16"/>
          <w:szCs w:val="16"/>
        </w:rPr>
        <w:t>Fin de vie des contenants</w:t>
      </w:r>
    </w:p>
    <w:p w14:paraId="1A935988" w14:textId="77777777" w:rsidR="00644D9D" w:rsidRDefault="00644D9D" w:rsidP="00D83DBF">
      <w:pPr>
        <w:jc w:val="both"/>
        <w:rPr>
          <w:b/>
        </w:rPr>
        <w:sectPr w:rsidR="00644D9D" w:rsidSect="00644D9D">
          <w:type w:val="continuous"/>
          <w:pgSz w:w="11909" w:h="16834"/>
          <w:pgMar w:top="1440" w:right="1136" w:bottom="1440" w:left="1440" w:header="720" w:footer="720" w:gutter="0"/>
          <w:pgNumType w:start="1"/>
          <w:cols w:num="2" w:space="720"/>
        </w:sectPr>
      </w:pPr>
    </w:p>
    <w:p w14:paraId="3C3E260E" w14:textId="77777777" w:rsidR="0080654C" w:rsidRDefault="0080654C" w:rsidP="00FF138B">
      <w:pPr>
        <w:jc w:val="both"/>
        <w:rPr>
          <w:b/>
        </w:rPr>
      </w:pPr>
    </w:p>
    <w:p w14:paraId="471DDBCE" w14:textId="60A6DD2A" w:rsidR="00FF138B" w:rsidRPr="00B64DFB" w:rsidRDefault="00FF138B" w:rsidP="00FF138B">
      <w:pPr>
        <w:jc w:val="both"/>
        <w:rPr>
          <w:bCs/>
          <w:strike/>
        </w:rPr>
      </w:pPr>
      <w:r w:rsidRPr="00EB2496">
        <w:rPr>
          <w:bCs/>
        </w:rPr>
        <w:t xml:space="preserve">Les étapes de cuisson, refroidissement, stockage et remise en température sur les </w:t>
      </w:r>
      <w:r w:rsidR="00EB2496" w:rsidRPr="00EB2496">
        <w:rPr>
          <w:bCs/>
        </w:rPr>
        <w:t>restaurants satellites</w:t>
      </w:r>
      <w:r w:rsidRPr="00EB2496">
        <w:rPr>
          <w:bCs/>
        </w:rPr>
        <w:t xml:space="preserve"> n’ont pas été étudiées</w:t>
      </w:r>
      <w:r w:rsidR="00D82718">
        <w:rPr>
          <w:bCs/>
        </w:rPr>
        <w:t>.</w:t>
      </w:r>
    </w:p>
    <w:p w14:paraId="64B1C039" w14:textId="12283CE7" w:rsidR="006F243C" w:rsidRDefault="006F243C" w:rsidP="00FF138B">
      <w:pPr>
        <w:jc w:val="both"/>
        <w:rPr>
          <w:bCs/>
        </w:rPr>
      </w:pPr>
    </w:p>
    <w:p w14:paraId="2CB51680" w14:textId="3A2D0943" w:rsidR="006F243C" w:rsidRDefault="006F243C" w:rsidP="00FF138B">
      <w:pPr>
        <w:jc w:val="both"/>
        <w:rPr>
          <w:bCs/>
        </w:rPr>
      </w:pPr>
    </w:p>
    <w:p w14:paraId="6CC9243B" w14:textId="7B7FE3EA" w:rsidR="006F243C" w:rsidRDefault="006F243C" w:rsidP="00FF138B">
      <w:pPr>
        <w:jc w:val="both"/>
        <w:rPr>
          <w:bCs/>
        </w:rPr>
      </w:pPr>
    </w:p>
    <w:p w14:paraId="74578B34" w14:textId="77777777" w:rsidR="006F243C" w:rsidRDefault="006F243C" w:rsidP="00FF138B">
      <w:pPr>
        <w:jc w:val="both"/>
        <w:rPr>
          <w:bCs/>
        </w:rPr>
      </w:pPr>
    </w:p>
    <w:p w14:paraId="63E58CBF" w14:textId="78556615" w:rsidR="00644D9D" w:rsidRPr="005E183F" w:rsidRDefault="00644D9D" w:rsidP="00D83DBF">
      <w:pPr>
        <w:jc w:val="both"/>
        <w:rPr>
          <w:b/>
          <w:color w:val="674EA7"/>
        </w:rPr>
      </w:pPr>
    </w:p>
    <w:p w14:paraId="231DA643" w14:textId="12968EC3" w:rsidR="00D83DBF" w:rsidRDefault="00D83DBF" w:rsidP="00D83DBF">
      <w:pPr>
        <w:jc w:val="both"/>
        <w:rPr>
          <w:b/>
          <w:color w:val="674EA7"/>
        </w:rPr>
      </w:pPr>
      <w:r w:rsidRPr="005E183F">
        <w:rPr>
          <w:b/>
          <w:color w:val="674EA7"/>
        </w:rPr>
        <w:t xml:space="preserve">Les principaux enseignements clefs de l’étude </w:t>
      </w:r>
    </w:p>
    <w:p w14:paraId="6ED9304C" w14:textId="77777777" w:rsidR="005E183F" w:rsidRPr="005E183F" w:rsidRDefault="005E183F" w:rsidP="00D83DBF">
      <w:pPr>
        <w:jc w:val="both"/>
        <w:rPr>
          <w:b/>
          <w:color w:val="674EA7"/>
        </w:rPr>
      </w:pPr>
    </w:p>
    <w:p w14:paraId="012B280E" w14:textId="40BAC09D" w:rsidR="00E379C7" w:rsidRDefault="00D83DBF">
      <w:pPr>
        <w:jc w:val="both"/>
      </w:pPr>
      <w:r w:rsidRPr="00691EE3">
        <w:t xml:space="preserve">L’étude </w:t>
      </w:r>
      <w:r w:rsidR="00B3599F">
        <w:t>d’impact produite permet de mettre en exerg</w:t>
      </w:r>
      <w:r w:rsidR="00357F2A">
        <w:t>ue les points qui ont le plus d’impact dans le domaine</w:t>
      </w:r>
      <w:r w:rsidR="006C5CC8">
        <w:t xml:space="preserve"> des contenants en </w:t>
      </w:r>
      <w:r w:rsidR="00D449D0">
        <w:t>restauration scolaire</w:t>
      </w:r>
      <w:r w:rsidR="00852C78">
        <w:t xml:space="preserve"> </w:t>
      </w:r>
    </w:p>
    <w:p w14:paraId="0D33E3E6" w14:textId="268B627C" w:rsidR="00852C78" w:rsidRDefault="00852C78">
      <w:pPr>
        <w:jc w:val="both"/>
        <w:rPr>
          <w:b/>
          <w:color w:val="674EA7"/>
        </w:rPr>
      </w:pPr>
      <w:r>
        <w:t xml:space="preserve">La synthèse </w:t>
      </w:r>
      <w:r w:rsidR="00EB60A4">
        <w:t>en annexe</w:t>
      </w:r>
      <w:r>
        <w:t xml:space="preserve"> permet </w:t>
      </w:r>
      <w:r w:rsidR="00896836">
        <w:t>de mesurer</w:t>
      </w:r>
      <w:r>
        <w:t xml:space="preserve"> </w:t>
      </w:r>
      <w:r w:rsidR="00821F8E">
        <w:t xml:space="preserve">les </w:t>
      </w:r>
      <w:r w:rsidR="00896836">
        <w:t xml:space="preserve">principaux </w:t>
      </w:r>
      <w:r w:rsidR="00812678">
        <w:t>impacts</w:t>
      </w:r>
      <w:r w:rsidR="00821F8E">
        <w:t xml:space="preserve"> </w:t>
      </w:r>
      <w:r w:rsidR="00812678">
        <w:t>de l’utilisation de bacs</w:t>
      </w:r>
      <w:r w:rsidR="00672C43">
        <w:t xml:space="preserve"> inox</w:t>
      </w:r>
      <w:r w:rsidR="00EE25A8">
        <w:t xml:space="preserve"> réemployables</w:t>
      </w:r>
      <w:r w:rsidR="00672C43">
        <w:t>.</w:t>
      </w:r>
    </w:p>
    <w:p w14:paraId="3FE1B93F" w14:textId="77777777" w:rsidR="00E379C7" w:rsidRDefault="00E379C7">
      <w:pPr>
        <w:jc w:val="both"/>
        <w:rPr>
          <w:b/>
          <w:color w:val="674EA7"/>
        </w:rPr>
      </w:pPr>
    </w:p>
    <w:p w14:paraId="3FB1292E" w14:textId="180FA74F" w:rsidR="00111B46" w:rsidRPr="001F0A26" w:rsidRDefault="00F80161" w:rsidP="00F429B6">
      <w:pPr>
        <w:pStyle w:val="Paragraphedeliste"/>
        <w:numPr>
          <w:ilvl w:val="0"/>
          <w:numId w:val="5"/>
        </w:numPr>
        <w:jc w:val="both"/>
        <w:rPr>
          <w:b/>
          <w:i/>
        </w:rPr>
      </w:pPr>
      <w:r w:rsidRPr="001F0A26">
        <w:rPr>
          <w:b/>
          <w:i/>
        </w:rPr>
        <w:t xml:space="preserve">Cuisson traditionnelle : Barquette Polypropylène </w:t>
      </w:r>
      <w:r w:rsidR="00E379C7" w:rsidRPr="001F0A26">
        <w:rPr>
          <w:b/>
          <w:i/>
        </w:rPr>
        <w:t>vs</w:t>
      </w:r>
      <w:r w:rsidRPr="001F0A26">
        <w:rPr>
          <w:b/>
          <w:i/>
        </w:rPr>
        <w:t xml:space="preserve"> Bac inox GastroNorme 1/3</w:t>
      </w:r>
    </w:p>
    <w:p w14:paraId="3FB1292F" w14:textId="77777777" w:rsidR="00111B46" w:rsidRDefault="00111B46">
      <w:pPr>
        <w:jc w:val="both"/>
      </w:pPr>
    </w:p>
    <w:p w14:paraId="3FB12930" w14:textId="6721E3D0" w:rsidR="00111B46" w:rsidRDefault="000C0FAF">
      <w:pPr>
        <w:jc w:val="both"/>
      </w:pPr>
      <w:r>
        <w:t>P</w:t>
      </w:r>
      <w:r w:rsidR="00F80161">
        <w:t>our 3 indicateurs (contribution au changement climatique, épuisement des ressources énergétiques et consommation nette d’eau)</w:t>
      </w:r>
      <w:r w:rsidR="00227CAC">
        <w:t>,</w:t>
      </w:r>
      <w:r w:rsidR="00F80161">
        <w:t xml:space="preserve"> le bilan est globalement plus favorable à la solution bac</w:t>
      </w:r>
      <w:r w:rsidR="00B03557">
        <w:t>s</w:t>
      </w:r>
      <w:r w:rsidR="00F80161">
        <w:t xml:space="preserve"> inox</w:t>
      </w:r>
      <w:r w:rsidR="00A24A84">
        <w:t xml:space="preserve"> que celle des barquettes plastiques</w:t>
      </w:r>
      <w:r w:rsidR="006D3DC3">
        <w:t>.</w:t>
      </w:r>
    </w:p>
    <w:p w14:paraId="533DDE37" w14:textId="77777777" w:rsidR="00921FB0" w:rsidRDefault="00921FB0">
      <w:pPr>
        <w:jc w:val="both"/>
      </w:pPr>
    </w:p>
    <w:p w14:paraId="7320F525" w14:textId="0782CE15" w:rsidR="00921FB0" w:rsidRPr="00227CAC" w:rsidRDefault="00921FB0" w:rsidP="00921FB0">
      <w:pPr>
        <w:jc w:val="both"/>
        <w:rPr>
          <w:sz w:val="16"/>
          <w:szCs w:val="14"/>
        </w:rPr>
      </w:pPr>
      <w:r w:rsidRPr="00227CAC">
        <w:rPr>
          <w:sz w:val="16"/>
          <w:szCs w:val="14"/>
        </w:rPr>
        <w:t xml:space="preserve">L’étude montre que l’utilisation de contenants en inox GN1/3 à majoritairement moins d’impact sur les indicateurs : contribution au changement climatique, épuisement des ressources énergétiques et consommation nette d’eau, malgré l’impact important des contenants en inox relatif au transport : poids moyen des repas à transporter plus élevé, nécessité de réorganiser les tournées pour assurer la reprise des contenants sales sur les restaurants satellites. </w:t>
      </w:r>
    </w:p>
    <w:p w14:paraId="148F4068" w14:textId="3E1DAAC5" w:rsidR="0078617E" w:rsidRPr="0078617E" w:rsidRDefault="00921FB0" w:rsidP="0078617E">
      <w:pPr>
        <w:jc w:val="both"/>
        <w:rPr>
          <w:sz w:val="16"/>
          <w:szCs w:val="14"/>
          <w:lang w:val="fr-FR"/>
        </w:rPr>
      </w:pPr>
      <w:r w:rsidRPr="00227CAC">
        <w:rPr>
          <w:sz w:val="16"/>
          <w:szCs w:val="14"/>
        </w:rPr>
        <w:t xml:space="preserve">Le bilan global est en défaveur des barquettes en polypropylène principalement car la fabrication et la gestion en fin de vie liée à l’usage unique des barquettes et de leurs </w:t>
      </w:r>
      <w:r w:rsidR="00F512EE">
        <w:rPr>
          <w:sz w:val="16"/>
          <w:szCs w:val="14"/>
        </w:rPr>
        <w:t>film</w:t>
      </w:r>
      <w:r w:rsidRPr="00227CAC">
        <w:rPr>
          <w:sz w:val="16"/>
          <w:szCs w:val="14"/>
        </w:rPr>
        <w:t>s contribuent très fortement aux émissions de gaz à effet de serre. De la même façon, la consommation nette d’eau fait apparaitre également un bilan légèrement en faveur du lavage des contenants en inox par rapport au volume de déchets que génère l</w:t>
      </w:r>
      <w:r w:rsidR="00CC4E06" w:rsidRPr="00227CAC">
        <w:rPr>
          <w:sz w:val="16"/>
          <w:szCs w:val="14"/>
        </w:rPr>
        <w:t>e plastique</w:t>
      </w:r>
      <w:r w:rsidRPr="00227CAC">
        <w:rPr>
          <w:sz w:val="16"/>
          <w:szCs w:val="14"/>
        </w:rPr>
        <w:t xml:space="preserve">. </w:t>
      </w:r>
      <w:r w:rsidR="00A8096B" w:rsidRPr="00227CAC">
        <w:rPr>
          <w:sz w:val="16"/>
          <w:szCs w:val="16"/>
        </w:rPr>
        <w:t>Toutefois, l’ADEME recommande de prendre des précautions lors des interprétations liées à cet indicateur en raison de problèmes sur la méthode de classification, de caractérisation et sur les jeux de données d’inventaires.</w:t>
      </w:r>
    </w:p>
    <w:p w14:paraId="324335EF" w14:textId="766F95C8" w:rsidR="00921FB0" w:rsidRPr="00A8096B" w:rsidRDefault="00921FB0" w:rsidP="00921FB0">
      <w:pPr>
        <w:jc w:val="both"/>
        <w:rPr>
          <w:i/>
          <w:sz w:val="18"/>
          <w:szCs w:val="16"/>
        </w:rPr>
      </w:pPr>
      <w:r w:rsidRPr="00227CAC">
        <w:rPr>
          <w:sz w:val="16"/>
          <w:szCs w:val="14"/>
        </w:rPr>
        <w:t>La solution en contenants inox est cependant beaucoup plus impactante que les barquettes en polypropylène sur le critère « épuisement des ressources minérales » en raison des métaux utilisés lors de la fabrication des contenants</w:t>
      </w:r>
      <w:r w:rsidRPr="00A8096B">
        <w:rPr>
          <w:sz w:val="18"/>
          <w:szCs w:val="16"/>
        </w:rPr>
        <w:t>.</w:t>
      </w:r>
    </w:p>
    <w:p w14:paraId="3FB12932" w14:textId="77777777" w:rsidR="00111B46" w:rsidRDefault="00111B46">
      <w:pPr>
        <w:jc w:val="both"/>
        <w:rPr>
          <w:i/>
        </w:rPr>
      </w:pPr>
    </w:p>
    <w:p w14:paraId="3FB12933" w14:textId="0F7BED83" w:rsidR="00111B46" w:rsidRPr="001F0A26" w:rsidRDefault="00F80161" w:rsidP="00F429B6">
      <w:pPr>
        <w:pStyle w:val="Paragraphedeliste"/>
        <w:numPr>
          <w:ilvl w:val="0"/>
          <w:numId w:val="4"/>
        </w:numPr>
        <w:jc w:val="both"/>
        <w:rPr>
          <w:b/>
          <w:i/>
        </w:rPr>
      </w:pPr>
      <w:r w:rsidRPr="001F0A26">
        <w:rPr>
          <w:b/>
          <w:i/>
        </w:rPr>
        <w:t xml:space="preserve">Cuisson par immersion : poche PE/PA </w:t>
      </w:r>
      <w:r w:rsidR="00E379C7" w:rsidRPr="001F0A26">
        <w:rPr>
          <w:b/>
          <w:i/>
        </w:rPr>
        <w:t>vs</w:t>
      </w:r>
      <w:r w:rsidRPr="001F0A26">
        <w:rPr>
          <w:b/>
          <w:i/>
        </w:rPr>
        <w:t xml:space="preserve"> Bac inox GastroNorme ½</w:t>
      </w:r>
    </w:p>
    <w:p w14:paraId="3FB12934" w14:textId="77777777" w:rsidR="00111B46" w:rsidRDefault="00111B46">
      <w:pPr>
        <w:jc w:val="both"/>
        <w:rPr>
          <w:b/>
          <w:i/>
        </w:rPr>
      </w:pPr>
    </w:p>
    <w:p w14:paraId="3FB12935" w14:textId="6EB09E94" w:rsidR="00111B46" w:rsidRPr="00EC0D77" w:rsidRDefault="00F80161">
      <w:pPr>
        <w:jc w:val="both"/>
        <w:rPr>
          <w:bCs/>
          <w:iCs/>
        </w:rPr>
      </w:pPr>
      <w:r w:rsidRPr="00EC0D77">
        <w:rPr>
          <w:bCs/>
          <w:iCs/>
        </w:rPr>
        <w:t xml:space="preserve">Les poches PE/PA sont une </w:t>
      </w:r>
      <w:r w:rsidR="00252511" w:rsidRPr="00EC0D77">
        <w:rPr>
          <w:bCs/>
          <w:iCs/>
        </w:rPr>
        <w:t>solution</w:t>
      </w:r>
      <w:r w:rsidRPr="00EC0D77">
        <w:rPr>
          <w:bCs/>
          <w:iCs/>
        </w:rPr>
        <w:t xml:space="preserve"> avec</w:t>
      </w:r>
      <w:r w:rsidR="00252511" w:rsidRPr="00EC0D77">
        <w:rPr>
          <w:bCs/>
          <w:iCs/>
        </w:rPr>
        <w:t xml:space="preserve"> moins</w:t>
      </w:r>
      <w:r w:rsidRPr="00EC0D77">
        <w:rPr>
          <w:bCs/>
          <w:iCs/>
        </w:rPr>
        <w:t xml:space="preserve"> d’impact environnemental</w:t>
      </w:r>
      <w:r w:rsidR="00252511" w:rsidRPr="00EC0D77">
        <w:rPr>
          <w:bCs/>
          <w:iCs/>
        </w:rPr>
        <w:t xml:space="preserve"> que les bacs inox</w:t>
      </w:r>
      <w:r w:rsidRPr="00EC0D77">
        <w:rPr>
          <w:bCs/>
          <w:iCs/>
        </w:rPr>
        <w:t>, car elles permettent d’optimiser le transport par leur volume et leur poids</w:t>
      </w:r>
      <w:r w:rsidR="00306625" w:rsidRPr="00EC0D77">
        <w:rPr>
          <w:bCs/>
          <w:iCs/>
        </w:rPr>
        <w:t>. S</w:t>
      </w:r>
      <w:r w:rsidR="00126C18" w:rsidRPr="00EC0D77">
        <w:rPr>
          <w:bCs/>
          <w:iCs/>
        </w:rPr>
        <w:t>eul l’indicateur consommation nette d’eau</w:t>
      </w:r>
      <w:r w:rsidR="00306625" w:rsidRPr="00EC0D77">
        <w:rPr>
          <w:bCs/>
          <w:iCs/>
        </w:rPr>
        <w:t xml:space="preserve"> do</w:t>
      </w:r>
      <w:r w:rsidR="00306625" w:rsidRPr="00D449D0">
        <w:rPr>
          <w:bCs/>
          <w:iCs/>
        </w:rPr>
        <w:t>nne</w:t>
      </w:r>
      <w:r w:rsidR="00B64DFB" w:rsidRPr="00D449D0">
        <w:rPr>
          <w:bCs/>
          <w:iCs/>
        </w:rPr>
        <w:t>rait</w:t>
      </w:r>
      <w:r w:rsidR="00306625" w:rsidRPr="00D449D0">
        <w:rPr>
          <w:bCs/>
          <w:iCs/>
        </w:rPr>
        <w:t xml:space="preserve"> </w:t>
      </w:r>
      <w:r w:rsidR="00306625" w:rsidRPr="00EC0D77">
        <w:rPr>
          <w:bCs/>
          <w:iCs/>
        </w:rPr>
        <w:t>un avantage à la solution</w:t>
      </w:r>
      <w:r w:rsidR="00F2164E">
        <w:rPr>
          <w:bCs/>
          <w:iCs/>
        </w:rPr>
        <w:t xml:space="preserve"> des</w:t>
      </w:r>
      <w:r w:rsidR="00306625" w:rsidRPr="00EC0D77">
        <w:rPr>
          <w:bCs/>
          <w:iCs/>
        </w:rPr>
        <w:t xml:space="preserve"> bac</w:t>
      </w:r>
      <w:r w:rsidR="00F2164E">
        <w:rPr>
          <w:bCs/>
          <w:iCs/>
        </w:rPr>
        <w:t>s</w:t>
      </w:r>
      <w:r w:rsidR="00306625" w:rsidRPr="00EC0D77">
        <w:rPr>
          <w:bCs/>
          <w:iCs/>
        </w:rPr>
        <w:t xml:space="preserve"> inox.</w:t>
      </w:r>
    </w:p>
    <w:p w14:paraId="3FB12937" w14:textId="77777777" w:rsidR="00111B46" w:rsidRPr="00AC426B" w:rsidRDefault="00111B46">
      <w:pPr>
        <w:jc w:val="both"/>
        <w:rPr>
          <w:sz w:val="18"/>
          <w:szCs w:val="18"/>
        </w:rPr>
      </w:pPr>
    </w:p>
    <w:p w14:paraId="3FB12938" w14:textId="577C1CE7" w:rsidR="00111B46" w:rsidRPr="00227CAC" w:rsidRDefault="00F80161">
      <w:pPr>
        <w:jc w:val="both"/>
        <w:rPr>
          <w:sz w:val="16"/>
          <w:szCs w:val="16"/>
        </w:rPr>
      </w:pPr>
      <w:r w:rsidRPr="00227CAC">
        <w:rPr>
          <w:sz w:val="16"/>
          <w:szCs w:val="16"/>
        </w:rPr>
        <w:t xml:space="preserve">L’étude nous montre que </w:t>
      </w:r>
      <w:r w:rsidR="00B64DFB" w:rsidRPr="00D449D0">
        <w:rPr>
          <w:sz w:val="16"/>
          <w:szCs w:val="16"/>
        </w:rPr>
        <w:t xml:space="preserve">toutes les étapes du cycle de vie </w:t>
      </w:r>
      <w:r w:rsidRPr="00D449D0">
        <w:rPr>
          <w:sz w:val="16"/>
          <w:szCs w:val="16"/>
        </w:rPr>
        <w:t xml:space="preserve">ne </w:t>
      </w:r>
      <w:r w:rsidRPr="00227CAC">
        <w:rPr>
          <w:sz w:val="16"/>
          <w:szCs w:val="16"/>
        </w:rPr>
        <w:t>sont pas équivalent</w:t>
      </w:r>
      <w:r w:rsidR="00B64DFB">
        <w:rPr>
          <w:sz w:val="16"/>
          <w:szCs w:val="16"/>
        </w:rPr>
        <w:t>e</w:t>
      </w:r>
      <w:r w:rsidRPr="00227CAC">
        <w:rPr>
          <w:sz w:val="16"/>
          <w:szCs w:val="16"/>
        </w:rPr>
        <w:t xml:space="preserve">s en termes d’impact sur les différents indicateurs étudiés. Trois d’entre eux se distinguent : le transport et l’allotissement, la fabrication des contenants et le lavage. </w:t>
      </w:r>
    </w:p>
    <w:p w14:paraId="3FB1293A" w14:textId="10FD7EE8" w:rsidR="00111B46" w:rsidRPr="00227CAC" w:rsidRDefault="00F80161">
      <w:pPr>
        <w:jc w:val="both"/>
        <w:rPr>
          <w:sz w:val="16"/>
          <w:szCs w:val="16"/>
        </w:rPr>
      </w:pPr>
      <w:r w:rsidRPr="00227CAC">
        <w:rPr>
          <w:sz w:val="16"/>
          <w:szCs w:val="16"/>
        </w:rPr>
        <w:t>Pour 3 indicateurs (contribution au changement climatique, épuisement des ressources énergétiques et épuisement des ressources minérales) le bilan est nettement favorable à la solution “poche”. En effet, il apparaît que la faible masse de la poche par portion permet de conserver un impact environnemental faible. L’étape de la livraison des repas est particulièrement déterminante en défaveur des bacs inox pour les 3 indicateurs cités plus haut : la tournée est allongée (reprise des bacs sales), augmentation de la masse moyenne et du volume des repas en raison de l’utilisation de bacs inox. Ces constats conduisent à étudier des modes de transport plus vertueux.  Le lavage des bacs inox (réalisé en interne ou en externe) pèse également sur l’épuisement des ressources énergétiques : consommation en électricité, consommation d’essence pour le transport des bacs propres…</w:t>
      </w:r>
    </w:p>
    <w:p w14:paraId="3FB1293B" w14:textId="4DCDFA93" w:rsidR="00111B46" w:rsidRPr="00227CAC" w:rsidRDefault="00F80161">
      <w:pPr>
        <w:jc w:val="both"/>
        <w:rPr>
          <w:sz w:val="16"/>
          <w:szCs w:val="16"/>
        </w:rPr>
      </w:pPr>
      <w:r w:rsidRPr="00227CAC">
        <w:rPr>
          <w:sz w:val="16"/>
          <w:szCs w:val="16"/>
        </w:rPr>
        <w:t xml:space="preserve">Pour le 4e indicateur (la consommation nette d’eau), la solution des bacs inox apparaît comme la plus économe. L’étape du lavage des bacs a peu d’impact sur la consommation d’eau, contrairement à la fabrication des poches qui est plus gourmande (matières premières et procédés de mise en forme). </w:t>
      </w:r>
    </w:p>
    <w:p w14:paraId="3FB1293C" w14:textId="5D844C30" w:rsidR="00111B46" w:rsidRDefault="00111B46">
      <w:pPr>
        <w:jc w:val="both"/>
      </w:pPr>
    </w:p>
    <w:p w14:paraId="376BC8D8" w14:textId="3D04E687" w:rsidR="006F243C" w:rsidRDefault="006F243C">
      <w:pPr>
        <w:jc w:val="both"/>
      </w:pPr>
    </w:p>
    <w:p w14:paraId="000C9DA4" w14:textId="7F0852D3" w:rsidR="006F243C" w:rsidRDefault="006F243C">
      <w:pPr>
        <w:jc w:val="both"/>
      </w:pPr>
    </w:p>
    <w:p w14:paraId="7D5E55F8" w14:textId="27151989" w:rsidR="006F243C" w:rsidRDefault="006F243C">
      <w:pPr>
        <w:jc w:val="both"/>
      </w:pPr>
    </w:p>
    <w:p w14:paraId="6F815BC8" w14:textId="50AAFEA4" w:rsidR="006F243C" w:rsidRDefault="006F243C">
      <w:pPr>
        <w:jc w:val="both"/>
      </w:pPr>
    </w:p>
    <w:p w14:paraId="4AF7C480" w14:textId="1E3A440F" w:rsidR="006F243C" w:rsidRDefault="006F243C">
      <w:pPr>
        <w:jc w:val="both"/>
      </w:pPr>
    </w:p>
    <w:p w14:paraId="3C51B9F5" w14:textId="77777777" w:rsidR="006F243C" w:rsidRDefault="006F243C">
      <w:pPr>
        <w:jc w:val="both"/>
      </w:pPr>
    </w:p>
    <w:p w14:paraId="16188DB0" w14:textId="470051F5" w:rsidR="00FB440D" w:rsidRDefault="00FB440D">
      <w:pPr>
        <w:jc w:val="both"/>
      </w:pPr>
    </w:p>
    <w:p w14:paraId="05184CA7" w14:textId="77777777" w:rsidR="00227CAC" w:rsidRDefault="00227CAC">
      <w:pPr>
        <w:jc w:val="both"/>
      </w:pPr>
    </w:p>
    <w:p w14:paraId="3FB1293D" w14:textId="000619CC" w:rsidR="00111B46" w:rsidRDefault="00F80161">
      <w:pPr>
        <w:jc w:val="both"/>
        <w:rPr>
          <w:b/>
          <w:color w:val="674EA7"/>
        </w:rPr>
      </w:pPr>
      <w:r>
        <w:rPr>
          <w:b/>
          <w:color w:val="674EA7"/>
        </w:rPr>
        <w:t xml:space="preserve">Quelles perspectives ? </w:t>
      </w:r>
    </w:p>
    <w:p w14:paraId="3FB1293E" w14:textId="77777777" w:rsidR="00111B46" w:rsidRDefault="00111B46">
      <w:pPr>
        <w:jc w:val="both"/>
      </w:pPr>
    </w:p>
    <w:p w14:paraId="3FB1293F" w14:textId="36144C1E" w:rsidR="00111B46" w:rsidRDefault="00F80161" w:rsidP="00D2350E">
      <w:pPr>
        <w:jc w:val="both"/>
      </w:pPr>
      <w:r>
        <w:t>Quels que soient les procédés de fabrication de</w:t>
      </w:r>
      <w:r w:rsidR="00E21572">
        <w:t>s cuisines centrales</w:t>
      </w:r>
      <w:r>
        <w:t>, cette transition s’inscrit dans le cadre de l’émergence de nouveaux enjeux de santé publique</w:t>
      </w:r>
      <w:r w:rsidR="000F28B7">
        <w:t>. L</w:t>
      </w:r>
      <w:r>
        <w:t xml:space="preserve">’ensemble des résultats </w:t>
      </w:r>
      <w:r w:rsidR="00481F39">
        <w:t>permet</w:t>
      </w:r>
      <w:r>
        <w:t xml:space="preserve"> une aide à la décision éclairée sur ces sujets complexes </w:t>
      </w:r>
      <w:r w:rsidR="00C21CE2">
        <w:t>entraînant</w:t>
      </w:r>
      <w:r>
        <w:t xml:space="preserve"> des conséquences organisationnelles, humaines et financières très importantes</w:t>
      </w:r>
      <w:r w:rsidR="00481F39">
        <w:t xml:space="preserve"> sur les acteurs de la restauration collective</w:t>
      </w:r>
      <w:r w:rsidR="002A5330">
        <w:t xml:space="preserve"> scolaire.</w:t>
      </w:r>
    </w:p>
    <w:p w14:paraId="3FB12940" w14:textId="77777777" w:rsidR="00111B46" w:rsidRDefault="00111B46" w:rsidP="008D50F5">
      <w:pPr>
        <w:ind w:firstLine="720"/>
        <w:jc w:val="both"/>
      </w:pPr>
    </w:p>
    <w:p w14:paraId="5D4AB66C" w14:textId="4CD1867A" w:rsidR="00210FCB" w:rsidRPr="00210FCB" w:rsidRDefault="00F80161" w:rsidP="008D50F5">
      <w:pPr>
        <w:jc w:val="both"/>
      </w:pPr>
      <w:r>
        <w:t>L’étude permet d’identifier des points d’amélioration possibles en matière de contenants réemployables : plus résistants, plus ergonomiques, moins lourds…</w:t>
      </w:r>
      <w:r w:rsidR="00876E2A">
        <w:t xml:space="preserve"> </w:t>
      </w:r>
      <w:r w:rsidR="00210FCB" w:rsidRPr="00210FCB">
        <w:t>Les industriels et fournisseurs ont également un rôle à part entière dans cette transition en proposant des produits et services adaptés au réemploi. </w:t>
      </w:r>
    </w:p>
    <w:p w14:paraId="5405EB37" w14:textId="164525CD" w:rsidR="00D53768" w:rsidRDefault="00D53768">
      <w:pPr>
        <w:jc w:val="both"/>
      </w:pPr>
    </w:p>
    <w:p w14:paraId="3FB12941" w14:textId="24DC4DBE" w:rsidR="00111B46" w:rsidRDefault="00E81E83">
      <w:pPr>
        <w:jc w:val="both"/>
      </w:pPr>
      <w:r>
        <w:t>En effet,</w:t>
      </w:r>
      <w:r w:rsidR="009462D8">
        <w:t xml:space="preserve"> </w:t>
      </w:r>
      <w:r w:rsidR="00BF525E">
        <w:t>des actions</w:t>
      </w:r>
      <w:r w:rsidR="009462D8">
        <w:t xml:space="preserve"> </w:t>
      </w:r>
      <w:r w:rsidR="005D1CB9">
        <w:t>de R&amp;D</w:t>
      </w:r>
      <w:r w:rsidR="00145B3E">
        <w:t xml:space="preserve"> </w:t>
      </w:r>
      <w:r w:rsidR="00BF525E">
        <w:t>doivent être menées</w:t>
      </w:r>
      <w:r w:rsidR="004F727A">
        <w:t> : emballages, contenants, logistique, dressage, fermeture et automatisation.</w:t>
      </w:r>
      <w:r w:rsidR="00145B3E">
        <w:t xml:space="preserve"> </w:t>
      </w:r>
      <w:r w:rsidR="00F80161">
        <w:t xml:space="preserve">Autant d’aspects qui justifient la création d’un groupement de commande, initié par plusieurs grandes villes et SIVU de France afin de stimuler l’innovation du côté des industriels. </w:t>
      </w:r>
    </w:p>
    <w:p w14:paraId="329F32FD" w14:textId="77777777" w:rsidR="007578EB" w:rsidRDefault="007578EB">
      <w:pPr>
        <w:jc w:val="both"/>
      </w:pPr>
    </w:p>
    <w:p w14:paraId="3FB12943" w14:textId="10415639" w:rsidR="00111B46" w:rsidRDefault="00461EA3" w:rsidP="00F429B6">
      <w:pPr>
        <w:jc w:val="both"/>
        <w:rPr>
          <w:b/>
          <w:color w:val="674EA7"/>
        </w:rPr>
      </w:pPr>
      <w:r w:rsidRPr="00C518B3">
        <w:rPr>
          <w:b/>
          <w:color w:val="674EA7"/>
        </w:rPr>
        <w:t>Le groupe de travail RECOLIM, qu’est</w:t>
      </w:r>
      <w:r w:rsidR="00B73114" w:rsidRPr="00C518B3">
        <w:rPr>
          <w:b/>
          <w:color w:val="674EA7"/>
        </w:rPr>
        <w:t>-</w:t>
      </w:r>
      <w:r w:rsidRPr="00C518B3">
        <w:rPr>
          <w:b/>
          <w:color w:val="674EA7"/>
        </w:rPr>
        <w:t>ce</w:t>
      </w:r>
      <w:r w:rsidR="00B73114" w:rsidRPr="00C518B3">
        <w:rPr>
          <w:b/>
          <w:color w:val="674EA7"/>
        </w:rPr>
        <w:t>-</w:t>
      </w:r>
      <w:r w:rsidRPr="00C518B3">
        <w:rPr>
          <w:b/>
          <w:color w:val="674EA7"/>
        </w:rPr>
        <w:t>que c’est ?</w:t>
      </w:r>
    </w:p>
    <w:p w14:paraId="359588A4" w14:textId="77777777" w:rsidR="00227CAC" w:rsidRPr="00C518B3" w:rsidRDefault="00227CAC" w:rsidP="00F429B6">
      <w:pPr>
        <w:jc w:val="both"/>
        <w:rPr>
          <w:b/>
          <w:color w:val="674EA7"/>
        </w:rPr>
      </w:pPr>
    </w:p>
    <w:p w14:paraId="44968411" w14:textId="1B238D2A" w:rsidR="00640D8C" w:rsidRDefault="00640D8C" w:rsidP="00640D8C">
      <w:pPr>
        <w:jc w:val="both"/>
      </w:pPr>
      <w:r>
        <w:t xml:space="preserve">Le Siresco, le Sivuresc et le Syrec, trois cuisines intercommunales de restauration collective qui cuisinent les repas de 65000 enfants de 25 communes en Ile-de-France, se sont associées </w:t>
      </w:r>
      <w:r w:rsidR="00EB2D1F">
        <w:t xml:space="preserve">notamment </w:t>
      </w:r>
      <w:r>
        <w:t xml:space="preserve">à l’entreprise Uzaje, spécialisée dans le lavage et le réemploi de contenants, dans le groupe </w:t>
      </w:r>
      <w:r w:rsidR="001F0A26">
        <w:t xml:space="preserve">de travail </w:t>
      </w:r>
      <w:r>
        <w:t>Recolim : Programme de REemploi des COntenants alimentaires pour anticiper la loi EGalim dans les restaurants scolaires. Cette dernière prévoit l’interdiction de l’usage des contenants plastiques au 1er janvier 2025.</w:t>
      </w:r>
    </w:p>
    <w:p w14:paraId="3FB1294C" w14:textId="77777777" w:rsidR="00111B46" w:rsidRDefault="00111B46">
      <w:pPr>
        <w:jc w:val="both"/>
      </w:pPr>
    </w:p>
    <w:p w14:paraId="3FB1294D" w14:textId="7C4E0974" w:rsidR="00111B46" w:rsidRDefault="00640D8C">
      <w:pPr>
        <w:jc w:val="both"/>
      </w:pPr>
      <w:r>
        <w:rPr>
          <w:noProof/>
        </w:rPr>
        <w:drawing>
          <wp:inline distT="114300" distB="114300" distL="114300" distR="114300" wp14:anchorId="58CDA984" wp14:editId="1A3E4D34">
            <wp:extent cx="4270075" cy="2838091"/>
            <wp:effectExtent l="0" t="0" r="0" b="63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73923" cy="2840648"/>
                    </a:xfrm>
                    <a:prstGeom prst="rect">
                      <a:avLst/>
                    </a:prstGeom>
                    <a:ln/>
                  </pic:spPr>
                </pic:pic>
              </a:graphicData>
            </a:graphic>
          </wp:inline>
        </w:drawing>
      </w:r>
    </w:p>
    <w:p w14:paraId="3FB1294E" w14:textId="18977FD7" w:rsidR="00111B46" w:rsidRDefault="00111B46">
      <w:pPr>
        <w:jc w:val="both"/>
      </w:pPr>
    </w:p>
    <w:p w14:paraId="07101FAB" w14:textId="109B9E51" w:rsidR="00FB440D" w:rsidRDefault="00FB440D">
      <w:pPr>
        <w:jc w:val="both"/>
      </w:pPr>
    </w:p>
    <w:p w14:paraId="3D154FEF" w14:textId="75A85ABD" w:rsidR="00FB440D" w:rsidRDefault="00FB440D">
      <w:pPr>
        <w:jc w:val="both"/>
      </w:pPr>
    </w:p>
    <w:p w14:paraId="56ADF979" w14:textId="6B4877B0" w:rsidR="00FB440D" w:rsidRDefault="00FB440D">
      <w:pPr>
        <w:jc w:val="both"/>
      </w:pPr>
    </w:p>
    <w:p w14:paraId="562487E2" w14:textId="527DC723" w:rsidR="00FB440D" w:rsidRDefault="00FB440D">
      <w:pPr>
        <w:jc w:val="both"/>
      </w:pPr>
    </w:p>
    <w:p w14:paraId="3E4D61FB" w14:textId="39B4B2F9" w:rsidR="00FB440D" w:rsidRDefault="00FB440D">
      <w:pPr>
        <w:jc w:val="both"/>
      </w:pPr>
    </w:p>
    <w:p w14:paraId="6442DDA9" w14:textId="743E891D" w:rsidR="00FB440D" w:rsidRDefault="00FB440D">
      <w:pPr>
        <w:jc w:val="both"/>
      </w:pPr>
    </w:p>
    <w:p w14:paraId="1E1F0CE2" w14:textId="283DEA95" w:rsidR="00FB440D" w:rsidRDefault="00FB440D">
      <w:pPr>
        <w:jc w:val="both"/>
      </w:pPr>
    </w:p>
    <w:p w14:paraId="6A5D1D9C" w14:textId="77777777" w:rsidR="00FB440D" w:rsidRDefault="00FB440D">
      <w:pPr>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111B46" w14:paraId="3FB12955" w14:textId="77777777">
        <w:tc>
          <w:tcPr>
            <w:tcW w:w="9029" w:type="dxa"/>
            <w:shd w:val="clear" w:color="auto" w:fill="F3F3F3"/>
            <w:tcMar>
              <w:top w:w="100" w:type="dxa"/>
              <w:left w:w="100" w:type="dxa"/>
              <w:bottom w:w="100" w:type="dxa"/>
              <w:right w:w="100" w:type="dxa"/>
            </w:tcMar>
          </w:tcPr>
          <w:p w14:paraId="3FB1294F" w14:textId="4A3C0B2B" w:rsidR="00111B46" w:rsidRDefault="00111B46">
            <w:pPr>
              <w:jc w:val="both"/>
            </w:pPr>
          </w:p>
          <w:p w14:paraId="3FB12950" w14:textId="77777777" w:rsidR="00111B46" w:rsidRDefault="00F80161">
            <w:pPr>
              <w:jc w:val="both"/>
              <w:rPr>
                <w:b/>
                <w:color w:val="674EA7"/>
              </w:rPr>
            </w:pPr>
            <w:r>
              <w:rPr>
                <w:b/>
                <w:color w:val="674EA7"/>
              </w:rPr>
              <w:t>Rappel : Première phase du projet Recolim</w:t>
            </w:r>
          </w:p>
          <w:p w14:paraId="3FB12951" w14:textId="77777777" w:rsidR="00111B46" w:rsidRDefault="00111B46">
            <w:pPr>
              <w:jc w:val="both"/>
              <w:rPr>
                <w:b/>
                <w:color w:val="674EA7"/>
              </w:rPr>
            </w:pPr>
          </w:p>
          <w:p w14:paraId="3FB12952" w14:textId="08A91974" w:rsidR="00111B46" w:rsidRDefault="00F80161">
            <w:pPr>
              <w:jc w:val="both"/>
              <w:rPr>
                <w:b/>
                <w:color w:val="674EA7"/>
              </w:rPr>
            </w:pPr>
            <w:r>
              <w:t xml:space="preserve">Dès 2019, le Siresco, le Sivuresc et le Syrec ainsi que la startup Uzaje ont entamé des travaux de recherche et d’expérimentation </w:t>
            </w:r>
            <w:r>
              <w:rPr>
                <w:color w:val="674EA7"/>
              </w:rPr>
              <w:t xml:space="preserve">en créant </w:t>
            </w:r>
            <w:r w:rsidRPr="00B85980">
              <w:rPr>
                <w:color w:val="000000" w:themeColor="text1"/>
              </w:rPr>
              <w:t>le</w:t>
            </w:r>
            <w:r>
              <w:t xml:space="preserve"> groupe de travail Recolim. Une première phase d’expérimentation a été menée au cours des années 2019-2020 afid’identifier et </w:t>
            </w:r>
            <w:r>
              <w:rPr>
                <w:color w:val="674EA7"/>
              </w:rPr>
              <w:t>de tester</w:t>
            </w:r>
            <w:r>
              <w:t xml:space="preserve"> les pistes possibles pour le développement de contenants alimentaires sans plastique. </w:t>
            </w:r>
            <w:r>
              <w:rPr>
                <w:noProof/>
              </w:rPr>
              <w:drawing>
                <wp:anchor distT="114300" distB="114300" distL="114300" distR="114300" simplePos="0" relativeHeight="251658240" behindDoc="0" locked="0" layoutInCell="1" hidden="0" allowOverlap="1" wp14:anchorId="3FB12960" wp14:editId="3FB12961">
                  <wp:simplePos x="0" y="0"/>
                  <wp:positionH relativeFrom="column">
                    <wp:posOffset>4095750</wp:posOffset>
                  </wp:positionH>
                  <wp:positionV relativeFrom="paragraph">
                    <wp:posOffset>962025</wp:posOffset>
                  </wp:positionV>
                  <wp:extent cx="1490663" cy="2116741"/>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90663" cy="2116741"/>
                          </a:xfrm>
                          <a:prstGeom prst="rect">
                            <a:avLst/>
                          </a:prstGeom>
                          <a:ln/>
                        </pic:spPr>
                      </pic:pic>
                    </a:graphicData>
                  </a:graphic>
                </wp:anchor>
              </w:drawing>
            </w:r>
          </w:p>
          <w:p w14:paraId="3FB12953" w14:textId="77777777" w:rsidR="00111B46" w:rsidRDefault="00F80161">
            <w:pPr>
              <w:jc w:val="both"/>
              <w:rPr>
                <w:sz w:val="20"/>
                <w:szCs w:val="20"/>
              </w:rPr>
            </w:pPr>
            <w:r>
              <w:rPr>
                <w:sz w:val="20"/>
                <w:szCs w:val="20"/>
              </w:rPr>
              <w:t xml:space="preserve"> </w:t>
            </w:r>
          </w:p>
          <w:p w14:paraId="3FB12954" w14:textId="77777777" w:rsidR="00111B46" w:rsidRDefault="00F80161">
            <w:pPr>
              <w:jc w:val="both"/>
            </w:pPr>
            <w:r>
              <w:t>La première phase d’expérimentation a montré que, pour les grandes cuisines centrales, l’inox et le verre sont des solutions possibles valorisant les préparations. Les expérimentations réalisées en 2019-2020 avec les contenants réemployables en inox et en verre sont détaillées techniquement dans un dossier technique complet paru en novembre 2020. Les problématiques rencontrées et les solutions envisagées sont présentées pour deux types de cuisson : cuisson traditionnelle (Siresco et Sivuresc) et cuisson sous vide par immersion (Syrec).</w:t>
            </w:r>
          </w:p>
        </w:tc>
      </w:tr>
    </w:tbl>
    <w:p w14:paraId="3FB12956" w14:textId="77777777" w:rsidR="00111B46" w:rsidRDefault="00111B46">
      <w:pPr>
        <w:jc w:val="both"/>
      </w:pPr>
    </w:p>
    <w:p w14:paraId="1AEEC48C" w14:textId="7210B8A0" w:rsidR="00B64DFB" w:rsidRDefault="007217BB" w:rsidP="00B64DFB">
      <w:r w:rsidRPr="001B2A98">
        <w:t xml:space="preserve">Pour la réalisation de cette étude, le cabinet Bleu Safran s’est appuyé pour son travail </w:t>
      </w:r>
      <w:r w:rsidR="00B64DFB" w:rsidRPr="001B2A98">
        <w:t>d’évaluation</w:t>
      </w:r>
      <w:r w:rsidRPr="001B2A98">
        <w:t xml:space="preserve"> sur de nombreuses </w:t>
      </w:r>
      <w:r w:rsidR="00B64DFB" w:rsidRPr="001B2A98">
        <w:t>sources</w:t>
      </w:r>
      <w:r w:rsidR="00FB440D" w:rsidRPr="001B2A98">
        <w:t>, dont</w:t>
      </w:r>
      <w:r w:rsidR="009A08F2" w:rsidRPr="001B2A98">
        <w:t xml:space="preserve"> : </w:t>
      </w:r>
      <w:r w:rsidR="002F16A8" w:rsidRPr="001B2A98">
        <w:t xml:space="preserve"> </w:t>
      </w:r>
      <w:r w:rsidR="00B64DFB" w:rsidRPr="001B2A98">
        <w:t xml:space="preserve">données techniques de contenants et d’emballages de livraison utilisés en restauration scolaire, </w:t>
      </w:r>
      <w:r w:rsidR="002267B4" w:rsidRPr="001B2A98">
        <w:t xml:space="preserve">données techniques d’Uzaje concernant le lavage, </w:t>
      </w:r>
      <w:r w:rsidR="00B64DFB" w:rsidRPr="001B2A98">
        <w:t xml:space="preserve">base de données </w:t>
      </w:r>
      <w:r w:rsidR="002F16A8" w:rsidRPr="001B2A98">
        <w:rPr>
          <w:lang w:val="fr-FR"/>
        </w:rPr>
        <w:t>ecoinvent 3.5</w:t>
      </w:r>
      <w:r w:rsidR="000309D1" w:rsidRPr="001B2A98">
        <w:rPr>
          <w:lang w:val="fr-FR"/>
        </w:rPr>
        <w:t xml:space="preserve">, </w:t>
      </w:r>
      <w:r w:rsidR="000309D1" w:rsidRPr="001B2A98">
        <w:t xml:space="preserve">IndustryData de PlasticsEurope disponible dans Simapro </w:t>
      </w:r>
      <w:r w:rsidR="000309D1" w:rsidRPr="001B2A98">
        <w:rPr>
          <w:lang w:val="fr-FR"/>
        </w:rPr>
        <w:t xml:space="preserve">(selon écoprofil de 2014), </w:t>
      </w:r>
      <w:r w:rsidR="00B64DFB" w:rsidRPr="001B2A98">
        <w:rPr>
          <w:lang w:val="fr-FR"/>
        </w:rPr>
        <w:t>Guide méthodologique de l'information GES des prestations de transport</w:t>
      </w:r>
      <w:r w:rsidR="00CC562A" w:rsidRPr="001B2A98">
        <w:rPr>
          <w:lang w:val="fr-FR"/>
        </w:rPr>
        <w:t xml:space="preserve"> (version de s</w:t>
      </w:r>
      <w:r w:rsidR="00B64DFB" w:rsidRPr="001B2A98">
        <w:rPr>
          <w:lang w:val="fr-FR"/>
        </w:rPr>
        <w:t>eptembre 2018</w:t>
      </w:r>
      <w:r w:rsidR="00CC562A" w:rsidRPr="001B2A98">
        <w:rPr>
          <w:lang w:val="fr-FR"/>
        </w:rPr>
        <w:t xml:space="preserve">, </w:t>
      </w:r>
      <w:r w:rsidR="00B64DFB" w:rsidRPr="001B2A98">
        <w:rPr>
          <w:lang w:val="fr-FR"/>
        </w:rPr>
        <w:t>Ministère de la Transition écologique</w:t>
      </w:r>
      <w:r w:rsidR="00CC562A" w:rsidRPr="001B2A98">
        <w:rPr>
          <w:lang w:val="fr-FR"/>
        </w:rPr>
        <w:t>)</w:t>
      </w:r>
      <w:r w:rsidR="00B64DFB" w:rsidRPr="001B2A98">
        <w:rPr>
          <w:lang w:val="fr-FR"/>
        </w:rPr>
        <w:t>, données ADEME (</w:t>
      </w:r>
      <w:r w:rsidR="00B64DFB" w:rsidRPr="001B2A98">
        <w:t>ITOM) et SNCU</w:t>
      </w:r>
      <w:r w:rsidR="002267B4" w:rsidRPr="001B2A98">
        <w:t>.</w:t>
      </w:r>
    </w:p>
    <w:p w14:paraId="0687B7F5" w14:textId="1FA8DFCA" w:rsidR="00C40AC2" w:rsidRDefault="00C40AC2" w:rsidP="00B64DFB"/>
    <w:p w14:paraId="2C9DFB30" w14:textId="6AAC3512" w:rsidR="00C40AC2" w:rsidRDefault="00C40AC2" w:rsidP="00B64DFB">
      <w:pPr>
        <w:rPr>
          <w:lang w:val="fr-FR"/>
        </w:rPr>
      </w:pPr>
    </w:p>
    <w:p w14:paraId="6B7CDEFC" w14:textId="4B8FD805" w:rsidR="00C40AC2" w:rsidRPr="001B2A98" w:rsidRDefault="006538D2" w:rsidP="00B64DFB">
      <w:pPr>
        <w:rPr>
          <w:lang w:val="fr-FR"/>
        </w:rPr>
      </w:pPr>
      <w:r>
        <w:rPr>
          <w:b/>
          <w:color w:val="674EA7"/>
        </w:rPr>
        <w:t>Contact presse</w:t>
      </w:r>
      <w:r w:rsidR="0012141E">
        <w:rPr>
          <w:b/>
          <w:color w:val="674EA7"/>
        </w:rPr>
        <w:t xml:space="preserve"> </w:t>
      </w:r>
    </w:p>
    <w:p w14:paraId="4D8BDD41" w14:textId="54F6DFA3" w:rsidR="000309D1" w:rsidRPr="000309D1" w:rsidRDefault="000309D1" w:rsidP="000309D1">
      <w:pPr>
        <w:rPr>
          <w:lang w:val="fr-FR"/>
        </w:rPr>
      </w:pPr>
    </w:p>
    <w:p w14:paraId="19348659" w14:textId="77777777" w:rsidR="003B7169" w:rsidRDefault="003B7169" w:rsidP="003B7169">
      <w:r>
        <w:rPr>
          <w:rFonts w:ascii="Tahoma" w:eastAsia="Times New Roman" w:hAnsi="Tahoma" w:cs="Tahoma"/>
          <w:color w:val="000000"/>
          <w:sz w:val="20"/>
          <w:szCs w:val="20"/>
        </w:rPr>
        <w:t>Dr Naciba ALLOUACHE</w:t>
      </w:r>
    </w:p>
    <w:p w14:paraId="581EA31A" w14:textId="29A74628" w:rsidR="0012141E" w:rsidRDefault="003B7169" w:rsidP="003B7169">
      <w:pPr>
        <w:rPr>
          <w:rFonts w:ascii="Tahoma" w:eastAsia="Times New Roman" w:hAnsi="Tahoma" w:cs="Tahoma"/>
          <w:color w:val="000000"/>
          <w:sz w:val="20"/>
          <w:szCs w:val="20"/>
        </w:rPr>
      </w:pPr>
      <w:r>
        <w:rPr>
          <w:rFonts w:ascii="Tahoma" w:eastAsia="Times New Roman" w:hAnsi="Tahoma" w:cs="Tahoma"/>
          <w:color w:val="000000"/>
          <w:sz w:val="20"/>
          <w:szCs w:val="20"/>
        </w:rPr>
        <w:t xml:space="preserve">Directrice du Pôle Qualité </w:t>
      </w:r>
      <w:r w:rsidR="00900DB4">
        <w:rPr>
          <w:rFonts w:ascii="Tahoma" w:eastAsia="Times New Roman" w:hAnsi="Tahoma" w:cs="Tahoma"/>
          <w:color w:val="000000"/>
          <w:sz w:val="20"/>
          <w:szCs w:val="20"/>
        </w:rPr>
        <w:t>Syrec</w:t>
      </w:r>
    </w:p>
    <w:p w14:paraId="5DABD47D" w14:textId="3B2ED176" w:rsidR="00065FEE" w:rsidRDefault="00065FEE" w:rsidP="003B7169">
      <w:pPr>
        <w:rPr>
          <w:rFonts w:ascii="Tahoma" w:eastAsia="Times New Roman" w:hAnsi="Tahoma" w:cs="Tahoma"/>
          <w:color w:val="000000"/>
          <w:sz w:val="20"/>
          <w:szCs w:val="20"/>
        </w:rPr>
      </w:pPr>
      <w:r w:rsidRPr="00065FEE">
        <w:rPr>
          <w:rFonts w:ascii="Tahoma" w:eastAsia="Times New Roman" w:hAnsi="Tahoma" w:cs="Tahoma"/>
          <w:color w:val="000000"/>
          <w:sz w:val="20"/>
          <w:szCs w:val="20"/>
        </w:rPr>
        <w:t>naciba.allouache@syrec-92.fr</w:t>
      </w:r>
    </w:p>
    <w:p w14:paraId="5B957835" w14:textId="77777777" w:rsidR="003B7169" w:rsidRDefault="003B7169" w:rsidP="003B7169">
      <w:pPr>
        <w:rPr>
          <w:rFonts w:ascii="Tahoma" w:eastAsia="Times New Roman" w:hAnsi="Tahoma" w:cs="Tahoma"/>
          <w:color w:val="000000"/>
          <w:sz w:val="20"/>
          <w:szCs w:val="20"/>
        </w:rPr>
      </w:pPr>
      <w:r>
        <w:rPr>
          <w:rFonts w:ascii="Tahoma" w:eastAsia="Times New Roman" w:hAnsi="Tahoma" w:cs="Tahoma"/>
          <w:color w:val="000000"/>
          <w:sz w:val="20"/>
          <w:szCs w:val="20"/>
        </w:rPr>
        <w:t>Tel : 01 40 86 86 02</w:t>
      </w:r>
    </w:p>
    <w:p w14:paraId="6A51B7E5" w14:textId="09B3D9A3" w:rsidR="002F16A8" w:rsidRPr="002F16A8" w:rsidRDefault="002F16A8" w:rsidP="002F16A8">
      <w:pPr>
        <w:rPr>
          <w:lang w:val="fr-FR"/>
        </w:rPr>
      </w:pPr>
    </w:p>
    <w:p w14:paraId="3FB12959" w14:textId="5C08B5FD" w:rsidR="00111B46" w:rsidRDefault="00111B46"/>
    <w:sectPr w:rsidR="00111B46" w:rsidSect="00644D9D">
      <w:type w:val="continuous"/>
      <w:pgSz w:w="11909" w:h="16834"/>
      <w:pgMar w:top="1440" w:right="1136"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149E"/>
    <w:multiLevelType w:val="multilevel"/>
    <w:tmpl w:val="6956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B37DC"/>
    <w:multiLevelType w:val="hybridMultilevel"/>
    <w:tmpl w:val="571664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3111FC"/>
    <w:multiLevelType w:val="hybridMultilevel"/>
    <w:tmpl w:val="9AC61FD0"/>
    <w:lvl w:ilvl="0" w:tplc="BCB4C2B8">
      <w:start w:val="28"/>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7C01B5"/>
    <w:multiLevelType w:val="hybridMultilevel"/>
    <w:tmpl w:val="40BE2A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2DF69E0"/>
    <w:multiLevelType w:val="hybridMultilevel"/>
    <w:tmpl w:val="C01A20C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4DB2A00"/>
    <w:multiLevelType w:val="hybridMultilevel"/>
    <w:tmpl w:val="0FA0AC1A"/>
    <w:lvl w:ilvl="0" w:tplc="FC9C77D2">
      <w:start w:val="1"/>
      <w:numFmt w:val="bullet"/>
      <w:lvlText w:val=""/>
      <w:lvlJc w:val="left"/>
      <w:pPr>
        <w:tabs>
          <w:tab w:val="num" w:pos="720"/>
        </w:tabs>
        <w:ind w:left="720" w:hanging="360"/>
      </w:pPr>
      <w:rPr>
        <w:rFonts w:ascii="Wingdings" w:hAnsi="Wingdings" w:hint="default"/>
      </w:rPr>
    </w:lvl>
    <w:lvl w:ilvl="1" w:tplc="50E6D87A">
      <w:start w:val="1"/>
      <w:numFmt w:val="bullet"/>
      <w:lvlText w:val=""/>
      <w:lvlJc w:val="left"/>
      <w:pPr>
        <w:tabs>
          <w:tab w:val="num" w:pos="1440"/>
        </w:tabs>
        <w:ind w:left="1440" w:hanging="360"/>
      </w:pPr>
      <w:rPr>
        <w:rFonts w:ascii="Wingdings" w:hAnsi="Wingdings" w:hint="default"/>
      </w:rPr>
    </w:lvl>
    <w:lvl w:ilvl="2" w:tplc="46C8DD0E" w:tentative="1">
      <w:start w:val="1"/>
      <w:numFmt w:val="bullet"/>
      <w:lvlText w:val=""/>
      <w:lvlJc w:val="left"/>
      <w:pPr>
        <w:tabs>
          <w:tab w:val="num" w:pos="2160"/>
        </w:tabs>
        <w:ind w:left="2160" w:hanging="360"/>
      </w:pPr>
      <w:rPr>
        <w:rFonts w:ascii="Wingdings" w:hAnsi="Wingdings" w:hint="default"/>
      </w:rPr>
    </w:lvl>
    <w:lvl w:ilvl="3" w:tplc="EAF206D8" w:tentative="1">
      <w:start w:val="1"/>
      <w:numFmt w:val="bullet"/>
      <w:lvlText w:val=""/>
      <w:lvlJc w:val="left"/>
      <w:pPr>
        <w:tabs>
          <w:tab w:val="num" w:pos="2880"/>
        </w:tabs>
        <w:ind w:left="2880" w:hanging="360"/>
      </w:pPr>
      <w:rPr>
        <w:rFonts w:ascii="Wingdings" w:hAnsi="Wingdings" w:hint="default"/>
      </w:rPr>
    </w:lvl>
    <w:lvl w:ilvl="4" w:tplc="F434F64A" w:tentative="1">
      <w:start w:val="1"/>
      <w:numFmt w:val="bullet"/>
      <w:lvlText w:val=""/>
      <w:lvlJc w:val="left"/>
      <w:pPr>
        <w:tabs>
          <w:tab w:val="num" w:pos="3600"/>
        </w:tabs>
        <w:ind w:left="3600" w:hanging="360"/>
      </w:pPr>
      <w:rPr>
        <w:rFonts w:ascii="Wingdings" w:hAnsi="Wingdings" w:hint="default"/>
      </w:rPr>
    </w:lvl>
    <w:lvl w:ilvl="5" w:tplc="20CCABC8" w:tentative="1">
      <w:start w:val="1"/>
      <w:numFmt w:val="bullet"/>
      <w:lvlText w:val=""/>
      <w:lvlJc w:val="left"/>
      <w:pPr>
        <w:tabs>
          <w:tab w:val="num" w:pos="4320"/>
        </w:tabs>
        <w:ind w:left="4320" w:hanging="360"/>
      </w:pPr>
      <w:rPr>
        <w:rFonts w:ascii="Wingdings" w:hAnsi="Wingdings" w:hint="default"/>
      </w:rPr>
    </w:lvl>
    <w:lvl w:ilvl="6" w:tplc="C73E519A" w:tentative="1">
      <w:start w:val="1"/>
      <w:numFmt w:val="bullet"/>
      <w:lvlText w:val=""/>
      <w:lvlJc w:val="left"/>
      <w:pPr>
        <w:tabs>
          <w:tab w:val="num" w:pos="5040"/>
        </w:tabs>
        <w:ind w:left="5040" w:hanging="360"/>
      </w:pPr>
      <w:rPr>
        <w:rFonts w:ascii="Wingdings" w:hAnsi="Wingdings" w:hint="default"/>
      </w:rPr>
    </w:lvl>
    <w:lvl w:ilvl="7" w:tplc="03843F2A" w:tentative="1">
      <w:start w:val="1"/>
      <w:numFmt w:val="bullet"/>
      <w:lvlText w:val=""/>
      <w:lvlJc w:val="left"/>
      <w:pPr>
        <w:tabs>
          <w:tab w:val="num" w:pos="5760"/>
        </w:tabs>
        <w:ind w:left="5760" w:hanging="360"/>
      </w:pPr>
      <w:rPr>
        <w:rFonts w:ascii="Wingdings" w:hAnsi="Wingdings" w:hint="default"/>
      </w:rPr>
    </w:lvl>
    <w:lvl w:ilvl="8" w:tplc="B0F2CB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0751B"/>
    <w:multiLevelType w:val="hybridMultilevel"/>
    <w:tmpl w:val="BCEE75E8"/>
    <w:lvl w:ilvl="0" w:tplc="610EAD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46"/>
    <w:rsid w:val="0000683F"/>
    <w:rsid w:val="00010A94"/>
    <w:rsid w:val="000309D1"/>
    <w:rsid w:val="00040D92"/>
    <w:rsid w:val="00053EFF"/>
    <w:rsid w:val="00056E01"/>
    <w:rsid w:val="00062FBF"/>
    <w:rsid w:val="00065FEE"/>
    <w:rsid w:val="00067CC8"/>
    <w:rsid w:val="00072662"/>
    <w:rsid w:val="000A3E73"/>
    <w:rsid w:val="000B015C"/>
    <w:rsid w:val="000B0DB6"/>
    <w:rsid w:val="000B3A76"/>
    <w:rsid w:val="000C0FAF"/>
    <w:rsid w:val="000D2908"/>
    <w:rsid w:val="000F05DA"/>
    <w:rsid w:val="000F28B7"/>
    <w:rsid w:val="000F2FA3"/>
    <w:rsid w:val="00111B46"/>
    <w:rsid w:val="00120897"/>
    <w:rsid w:val="0012141E"/>
    <w:rsid w:val="00126C18"/>
    <w:rsid w:val="00133972"/>
    <w:rsid w:val="001435CF"/>
    <w:rsid w:val="00145B3E"/>
    <w:rsid w:val="00156098"/>
    <w:rsid w:val="00164C06"/>
    <w:rsid w:val="00183BA2"/>
    <w:rsid w:val="001A3270"/>
    <w:rsid w:val="001A3550"/>
    <w:rsid w:val="001B2A98"/>
    <w:rsid w:val="001D6DDA"/>
    <w:rsid w:val="001E1B09"/>
    <w:rsid w:val="001E59AE"/>
    <w:rsid w:val="001F0A26"/>
    <w:rsid w:val="002039AE"/>
    <w:rsid w:val="00210B08"/>
    <w:rsid w:val="00210FCB"/>
    <w:rsid w:val="00221CE8"/>
    <w:rsid w:val="002267B4"/>
    <w:rsid w:val="00227CAC"/>
    <w:rsid w:val="00234BDB"/>
    <w:rsid w:val="00252511"/>
    <w:rsid w:val="002A5330"/>
    <w:rsid w:val="002B3A28"/>
    <w:rsid w:val="002F16A8"/>
    <w:rsid w:val="0030649C"/>
    <w:rsid w:val="00306625"/>
    <w:rsid w:val="00327EFF"/>
    <w:rsid w:val="00331DDA"/>
    <w:rsid w:val="00357F2A"/>
    <w:rsid w:val="00376185"/>
    <w:rsid w:val="003A6CEF"/>
    <w:rsid w:val="003B7169"/>
    <w:rsid w:val="003C4D13"/>
    <w:rsid w:val="003C58DB"/>
    <w:rsid w:val="003D54F8"/>
    <w:rsid w:val="003E40C6"/>
    <w:rsid w:val="003F2D6C"/>
    <w:rsid w:val="003F74F5"/>
    <w:rsid w:val="00461EA3"/>
    <w:rsid w:val="00481F39"/>
    <w:rsid w:val="004D235A"/>
    <w:rsid w:val="004D5CF2"/>
    <w:rsid w:val="004D5DE5"/>
    <w:rsid w:val="004F727A"/>
    <w:rsid w:val="00503998"/>
    <w:rsid w:val="00515F65"/>
    <w:rsid w:val="00541484"/>
    <w:rsid w:val="00542491"/>
    <w:rsid w:val="00542E3A"/>
    <w:rsid w:val="00552796"/>
    <w:rsid w:val="00592524"/>
    <w:rsid w:val="00593DE6"/>
    <w:rsid w:val="005C6693"/>
    <w:rsid w:val="005D1CB9"/>
    <w:rsid w:val="005D364A"/>
    <w:rsid w:val="005E183F"/>
    <w:rsid w:val="005E4A62"/>
    <w:rsid w:val="005E58F0"/>
    <w:rsid w:val="005F7403"/>
    <w:rsid w:val="00613B1D"/>
    <w:rsid w:val="00640D8C"/>
    <w:rsid w:val="00644D9D"/>
    <w:rsid w:val="006538D2"/>
    <w:rsid w:val="00672C43"/>
    <w:rsid w:val="00687AFB"/>
    <w:rsid w:val="00691EE3"/>
    <w:rsid w:val="006C5CC8"/>
    <w:rsid w:val="006D368D"/>
    <w:rsid w:val="006D3DC3"/>
    <w:rsid w:val="006F243C"/>
    <w:rsid w:val="007217BB"/>
    <w:rsid w:val="0073527A"/>
    <w:rsid w:val="00736B6C"/>
    <w:rsid w:val="00753638"/>
    <w:rsid w:val="007578EB"/>
    <w:rsid w:val="007627A3"/>
    <w:rsid w:val="0077479A"/>
    <w:rsid w:val="0078617E"/>
    <w:rsid w:val="0078740F"/>
    <w:rsid w:val="007A419C"/>
    <w:rsid w:val="007B2B1C"/>
    <w:rsid w:val="007B568F"/>
    <w:rsid w:val="007E339B"/>
    <w:rsid w:val="00801A05"/>
    <w:rsid w:val="0080654C"/>
    <w:rsid w:val="00812678"/>
    <w:rsid w:val="00815DC3"/>
    <w:rsid w:val="00821F8E"/>
    <w:rsid w:val="00836BE9"/>
    <w:rsid w:val="00852C78"/>
    <w:rsid w:val="00853654"/>
    <w:rsid w:val="00861711"/>
    <w:rsid w:val="00870876"/>
    <w:rsid w:val="00876E05"/>
    <w:rsid w:val="00876E2A"/>
    <w:rsid w:val="00896836"/>
    <w:rsid w:val="00897B6E"/>
    <w:rsid w:val="008A035C"/>
    <w:rsid w:val="008C4B34"/>
    <w:rsid w:val="008D50F5"/>
    <w:rsid w:val="00900DB4"/>
    <w:rsid w:val="00921FB0"/>
    <w:rsid w:val="009462D8"/>
    <w:rsid w:val="00972F43"/>
    <w:rsid w:val="009A0051"/>
    <w:rsid w:val="009A08F2"/>
    <w:rsid w:val="00A24A84"/>
    <w:rsid w:val="00A8096B"/>
    <w:rsid w:val="00A91C73"/>
    <w:rsid w:val="00AC38E1"/>
    <w:rsid w:val="00AC426B"/>
    <w:rsid w:val="00AD4117"/>
    <w:rsid w:val="00AE1BA3"/>
    <w:rsid w:val="00AF54F1"/>
    <w:rsid w:val="00B03557"/>
    <w:rsid w:val="00B142B1"/>
    <w:rsid w:val="00B173B1"/>
    <w:rsid w:val="00B33B78"/>
    <w:rsid w:val="00B3599F"/>
    <w:rsid w:val="00B460F2"/>
    <w:rsid w:val="00B64DFB"/>
    <w:rsid w:val="00B73114"/>
    <w:rsid w:val="00B85980"/>
    <w:rsid w:val="00B9509F"/>
    <w:rsid w:val="00BF525E"/>
    <w:rsid w:val="00C076DA"/>
    <w:rsid w:val="00C12C0F"/>
    <w:rsid w:val="00C21CE2"/>
    <w:rsid w:val="00C40AC2"/>
    <w:rsid w:val="00C518B3"/>
    <w:rsid w:val="00CA6315"/>
    <w:rsid w:val="00CC4E06"/>
    <w:rsid w:val="00CC562A"/>
    <w:rsid w:val="00CD7971"/>
    <w:rsid w:val="00CE4992"/>
    <w:rsid w:val="00CE585B"/>
    <w:rsid w:val="00CE64ED"/>
    <w:rsid w:val="00D2350E"/>
    <w:rsid w:val="00D3079D"/>
    <w:rsid w:val="00D449D0"/>
    <w:rsid w:val="00D53768"/>
    <w:rsid w:val="00D82718"/>
    <w:rsid w:val="00D83DBF"/>
    <w:rsid w:val="00D91823"/>
    <w:rsid w:val="00D92AA4"/>
    <w:rsid w:val="00DE7C64"/>
    <w:rsid w:val="00E21572"/>
    <w:rsid w:val="00E25C2C"/>
    <w:rsid w:val="00E263BE"/>
    <w:rsid w:val="00E275E5"/>
    <w:rsid w:val="00E379C7"/>
    <w:rsid w:val="00E5495E"/>
    <w:rsid w:val="00E635B1"/>
    <w:rsid w:val="00E76300"/>
    <w:rsid w:val="00E81E83"/>
    <w:rsid w:val="00E86D71"/>
    <w:rsid w:val="00E9491F"/>
    <w:rsid w:val="00E9643C"/>
    <w:rsid w:val="00EB1626"/>
    <w:rsid w:val="00EB2496"/>
    <w:rsid w:val="00EB2D1F"/>
    <w:rsid w:val="00EB531F"/>
    <w:rsid w:val="00EB60A4"/>
    <w:rsid w:val="00EC0D77"/>
    <w:rsid w:val="00EC5BFB"/>
    <w:rsid w:val="00EE25A8"/>
    <w:rsid w:val="00F2164E"/>
    <w:rsid w:val="00F37C62"/>
    <w:rsid w:val="00F429B6"/>
    <w:rsid w:val="00F44338"/>
    <w:rsid w:val="00F512EE"/>
    <w:rsid w:val="00F52029"/>
    <w:rsid w:val="00F642E9"/>
    <w:rsid w:val="00F80161"/>
    <w:rsid w:val="00F94056"/>
    <w:rsid w:val="00FB440D"/>
    <w:rsid w:val="00FD5DE1"/>
    <w:rsid w:val="00FD7300"/>
    <w:rsid w:val="00FE7421"/>
    <w:rsid w:val="00FF1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2910"/>
  <w15:docId w15:val="{101DD0BF-FF16-43C5-8689-8649082F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Ind w:w="0" w:type="nil"/>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1F0A26"/>
    <w:pPr>
      <w:ind w:left="720"/>
      <w:contextualSpacing/>
    </w:pPr>
  </w:style>
  <w:style w:type="paragraph" w:styleId="NormalWeb">
    <w:name w:val="Normal (Web)"/>
    <w:basedOn w:val="Normal"/>
    <w:uiPriority w:val="99"/>
    <w:semiHidden/>
    <w:unhideWhenUsed/>
    <w:rsid w:val="002F16A8"/>
    <w:pPr>
      <w:spacing w:before="100" w:beforeAutospacing="1" w:after="100" w:afterAutospacing="1" w:line="240" w:lineRule="auto"/>
    </w:pPr>
    <w:rPr>
      <w:rFonts w:ascii="Times New Roman" w:eastAsia="Times New Roman" w:hAnsi="Times New Roman" w:cs="Times New Roman"/>
      <w:sz w:val="24"/>
      <w:szCs w:val="24"/>
      <w:lang w:val="fr-FR"/>
    </w:rPr>
  </w:style>
  <w:style w:type="table" w:customStyle="1" w:styleId="TableNormal1">
    <w:name w:val="Table Normal1"/>
    <w:rsid w:val="005F7403"/>
    <w:tblPr>
      <w:tblCellMar>
        <w:top w:w="0" w:type="dxa"/>
        <w:left w:w="0" w:type="dxa"/>
        <w:bottom w:w="0" w:type="dxa"/>
        <w:right w:w="0" w:type="dxa"/>
      </w:tblCellMar>
    </w:tblPr>
  </w:style>
  <w:style w:type="character" w:styleId="Accentuation">
    <w:name w:val="Emphasis"/>
    <w:basedOn w:val="Policepardfaut"/>
    <w:uiPriority w:val="20"/>
    <w:qFormat/>
    <w:rsid w:val="00210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257">
      <w:bodyDiv w:val="1"/>
      <w:marLeft w:val="0"/>
      <w:marRight w:val="0"/>
      <w:marTop w:val="0"/>
      <w:marBottom w:val="0"/>
      <w:divBdr>
        <w:top w:val="none" w:sz="0" w:space="0" w:color="auto"/>
        <w:left w:val="none" w:sz="0" w:space="0" w:color="auto"/>
        <w:bottom w:val="none" w:sz="0" w:space="0" w:color="auto"/>
        <w:right w:val="none" w:sz="0" w:space="0" w:color="auto"/>
      </w:divBdr>
    </w:div>
    <w:div w:id="648749716">
      <w:bodyDiv w:val="1"/>
      <w:marLeft w:val="0"/>
      <w:marRight w:val="0"/>
      <w:marTop w:val="0"/>
      <w:marBottom w:val="0"/>
      <w:divBdr>
        <w:top w:val="none" w:sz="0" w:space="0" w:color="auto"/>
        <w:left w:val="none" w:sz="0" w:space="0" w:color="auto"/>
        <w:bottom w:val="none" w:sz="0" w:space="0" w:color="auto"/>
        <w:right w:val="none" w:sz="0" w:space="0" w:color="auto"/>
      </w:divBdr>
      <w:divsChild>
        <w:div w:id="2112510137">
          <w:marLeft w:val="446"/>
          <w:marRight w:val="0"/>
          <w:marTop w:val="0"/>
          <w:marBottom w:val="0"/>
          <w:divBdr>
            <w:top w:val="none" w:sz="0" w:space="0" w:color="auto"/>
            <w:left w:val="none" w:sz="0" w:space="0" w:color="auto"/>
            <w:bottom w:val="none" w:sz="0" w:space="0" w:color="auto"/>
            <w:right w:val="none" w:sz="0" w:space="0" w:color="auto"/>
          </w:divBdr>
        </w:div>
        <w:div w:id="1614051145">
          <w:marLeft w:val="446"/>
          <w:marRight w:val="0"/>
          <w:marTop w:val="0"/>
          <w:marBottom w:val="0"/>
          <w:divBdr>
            <w:top w:val="none" w:sz="0" w:space="0" w:color="auto"/>
            <w:left w:val="none" w:sz="0" w:space="0" w:color="auto"/>
            <w:bottom w:val="none" w:sz="0" w:space="0" w:color="auto"/>
            <w:right w:val="none" w:sz="0" w:space="0" w:color="auto"/>
          </w:divBdr>
        </w:div>
        <w:div w:id="1962951940">
          <w:marLeft w:val="446"/>
          <w:marRight w:val="0"/>
          <w:marTop w:val="0"/>
          <w:marBottom w:val="0"/>
          <w:divBdr>
            <w:top w:val="none" w:sz="0" w:space="0" w:color="auto"/>
            <w:left w:val="none" w:sz="0" w:space="0" w:color="auto"/>
            <w:bottom w:val="none" w:sz="0" w:space="0" w:color="auto"/>
            <w:right w:val="none" w:sz="0" w:space="0" w:color="auto"/>
          </w:divBdr>
        </w:div>
        <w:div w:id="340816905">
          <w:marLeft w:val="446"/>
          <w:marRight w:val="0"/>
          <w:marTop w:val="0"/>
          <w:marBottom w:val="0"/>
          <w:divBdr>
            <w:top w:val="none" w:sz="0" w:space="0" w:color="auto"/>
            <w:left w:val="none" w:sz="0" w:space="0" w:color="auto"/>
            <w:bottom w:val="none" w:sz="0" w:space="0" w:color="auto"/>
            <w:right w:val="none" w:sz="0" w:space="0" w:color="auto"/>
          </w:divBdr>
        </w:div>
        <w:div w:id="1333029934">
          <w:marLeft w:val="446"/>
          <w:marRight w:val="0"/>
          <w:marTop w:val="0"/>
          <w:marBottom w:val="0"/>
          <w:divBdr>
            <w:top w:val="none" w:sz="0" w:space="0" w:color="auto"/>
            <w:left w:val="none" w:sz="0" w:space="0" w:color="auto"/>
            <w:bottom w:val="none" w:sz="0" w:space="0" w:color="auto"/>
            <w:right w:val="none" w:sz="0" w:space="0" w:color="auto"/>
          </w:divBdr>
        </w:div>
        <w:div w:id="1084381154">
          <w:marLeft w:val="446"/>
          <w:marRight w:val="0"/>
          <w:marTop w:val="0"/>
          <w:marBottom w:val="0"/>
          <w:divBdr>
            <w:top w:val="none" w:sz="0" w:space="0" w:color="auto"/>
            <w:left w:val="none" w:sz="0" w:space="0" w:color="auto"/>
            <w:bottom w:val="none" w:sz="0" w:space="0" w:color="auto"/>
            <w:right w:val="none" w:sz="0" w:space="0" w:color="auto"/>
          </w:divBdr>
        </w:div>
        <w:div w:id="128474193">
          <w:marLeft w:val="446"/>
          <w:marRight w:val="0"/>
          <w:marTop w:val="0"/>
          <w:marBottom w:val="0"/>
          <w:divBdr>
            <w:top w:val="none" w:sz="0" w:space="0" w:color="auto"/>
            <w:left w:val="none" w:sz="0" w:space="0" w:color="auto"/>
            <w:bottom w:val="none" w:sz="0" w:space="0" w:color="auto"/>
            <w:right w:val="none" w:sz="0" w:space="0" w:color="auto"/>
          </w:divBdr>
        </w:div>
      </w:divsChild>
    </w:div>
    <w:div w:id="740912806">
      <w:bodyDiv w:val="1"/>
      <w:marLeft w:val="0"/>
      <w:marRight w:val="0"/>
      <w:marTop w:val="0"/>
      <w:marBottom w:val="0"/>
      <w:divBdr>
        <w:top w:val="none" w:sz="0" w:space="0" w:color="auto"/>
        <w:left w:val="none" w:sz="0" w:space="0" w:color="auto"/>
        <w:bottom w:val="none" w:sz="0" w:space="0" w:color="auto"/>
        <w:right w:val="none" w:sz="0" w:space="0" w:color="auto"/>
      </w:divBdr>
      <w:divsChild>
        <w:div w:id="22946870">
          <w:marLeft w:val="274"/>
          <w:marRight w:val="0"/>
          <w:marTop w:val="40"/>
          <w:marBottom w:val="40"/>
          <w:divBdr>
            <w:top w:val="none" w:sz="0" w:space="0" w:color="auto"/>
            <w:left w:val="none" w:sz="0" w:space="0" w:color="auto"/>
            <w:bottom w:val="none" w:sz="0" w:space="0" w:color="auto"/>
            <w:right w:val="none" w:sz="0" w:space="0" w:color="auto"/>
          </w:divBdr>
        </w:div>
      </w:divsChild>
    </w:div>
    <w:div w:id="885991211">
      <w:bodyDiv w:val="1"/>
      <w:marLeft w:val="0"/>
      <w:marRight w:val="0"/>
      <w:marTop w:val="0"/>
      <w:marBottom w:val="0"/>
      <w:divBdr>
        <w:top w:val="none" w:sz="0" w:space="0" w:color="auto"/>
        <w:left w:val="none" w:sz="0" w:space="0" w:color="auto"/>
        <w:bottom w:val="none" w:sz="0" w:space="0" w:color="auto"/>
        <w:right w:val="none" w:sz="0" w:space="0" w:color="auto"/>
      </w:divBdr>
    </w:div>
    <w:div w:id="1010912407">
      <w:bodyDiv w:val="1"/>
      <w:marLeft w:val="0"/>
      <w:marRight w:val="0"/>
      <w:marTop w:val="0"/>
      <w:marBottom w:val="0"/>
      <w:divBdr>
        <w:top w:val="none" w:sz="0" w:space="0" w:color="auto"/>
        <w:left w:val="none" w:sz="0" w:space="0" w:color="auto"/>
        <w:bottom w:val="none" w:sz="0" w:space="0" w:color="auto"/>
        <w:right w:val="none" w:sz="0" w:space="0" w:color="auto"/>
      </w:divBdr>
    </w:div>
    <w:div w:id="1433166703">
      <w:bodyDiv w:val="1"/>
      <w:marLeft w:val="0"/>
      <w:marRight w:val="0"/>
      <w:marTop w:val="0"/>
      <w:marBottom w:val="0"/>
      <w:divBdr>
        <w:top w:val="none" w:sz="0" w:space="0" w:color="auto"/>
        <w:left w:val="none" w:sz="0" w:space="0" w:color="auto"/>
        <w:bottom w:val="none" w:sz="0" w:space="0" w:color="auto"/>
        <w:right w:val="none" w:sz="0" w:space="0" w:color="auto"/>
      </w:divBdr>
    </w:div>
    <w:div w:id="1512794352">
      <w:bodyDiv w:val="1"/>
      <w:marLeft w:val="0"/>
      <w:marRight w:val="0"/>
      <w:marTop w:val="0"/>
      <w:marBottom w:val="0"/>
      <w:divBdr>
        <w:top w:val="none" w:sz="0" w:space="0" w:color="auto"/>
        <w:left w:val="none" w:sz="0" w:space="0" w:color="auto"/>
        <w:bottom w:val="none" w:sz="0" w:space="0" w:color="auto"/>
        <w:right w:val="none" w:sz="0" w:space="0" w:color="auto"/>
      </w:divBdr>
    </w:div>
    <w:div w:id="1685595895">
      <w:bodyDiv w:val="1"/>
      <w:marLeft w:val="0"/>
      <w:marRight w:val="0"/>
      <w:marTop w:val="0"/>
      <w:marBottom w:val="0"/>
      <w:divBdr>
        <w:top w:val="none" w:sz="0" w:space="0" w:color="auto"/>
        <w:left w:val="none" w:sz="0" w:space="0" w:color="auto"/>
        <w:bottom w:val="none" w:sz="0" w:space="0" w:color="auto"/>
        <w:right w:val="none" w:sz="0" w:space="0" w:color="auto"/>
      </w:divBdr>
    </w:div>
    <w:div w:id="1687052593">
      <w:bodyDiv w:val="1"/>
      <w:marLeft w:val="0"/>
      <w:marRight w:val="0"/>
      <w:marTop w:val="0"/>
      <w:marBottom w:val="0"/>
      <w:divBdr>
        <w:top w:val="none" w:sz="0" w:space="0" w:color="auto"/>
        <w:left w:val="none" w:sz="0" w:space="0" w:color="auto"/>
        <w:bottom w:val="none" w:sz="0" w:space="0" w:color="auto"/>
        <w:right w:val="none" w:sz="0" w:space="0" w:color="auto"/>
      </w:divBdr>
    </w:div>
    <w:div w:id="208452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C8EF45BE8D49AFAB99EE402F0CBD" ma:contentTypeVersion="16" ma:contentTypeDescription="Crée un document." ma:contentTypeScope="" ma:versionID="0c682ea45ec7e5dbd5543cf87344887d">
  <xsd:schema xmlns:xsd="http://www.w3.org/2001/XMLSchema" xmlns:xs="http://www.w3.org/2001/XMLSchema" xmlns:p="http://schemas.microsoft.com/office/2006/metadata/properties" xmlns:ns2="8b48ee5b-a3b1-4575-9182-82f2010bcafb" xmlns:ns3="2ea675ee-0362-49f0-8880-e019acc15e73" targetNamespace="http://schemas.microsoft.com/office/2006/metadata/properties" ma:root="true" ma:fieldsID="df8dd7b9eb318a45995fc02cd6489b1b" ns2:_="" ns3:_="">
    <xsd:import namespace="8b48ee5b-a3b1-4575-9182-82f2010bcafb"/>
    <xsd:import namespace="2ea675ee-0362-49f0-8880-e019acc15e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8ee5b-a3b1-4575-9182-82f2010bca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f463d39-9718-44ce-b8c6-e88bf55f71b1}" ma:internalName="TaxCatchAll" ma:showField="CatchAllData" ma:web="8b48ee5b-a3b1-4575-9182-82f2010bca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675ee-0362-49f0-8880-e019acc15e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92df7f4-2f25-4e85-9b64-d7d7d77c1b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a675ee-0362-49f0-8880-e019acc15e73">
      <Terms xmlns="http://schemas.microsoft.com/office/infopath/2007/PartnerControls"/>
    </lcf76f155ced4ddcb4097134ff3c332f>
    <TaxCatchAll xmlns="8b48ee5b-a3b1-4575-9182-82f2010bca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253A-B95C-440D-91FB-B6F8E77AFF82}"/>
</file>

<file path=customXml/itemProps2.xml><?xml version="1.0" encoding="utf-8"?>
<ds:datastoreItem xmlns:ds="http://schemas.openxmlformats.org/officeDocument/2006/customXml" ds:itemID="{36F5F02D-F427-4824-974D-A5EB402CBA0B}">
  <ds:schemaRefs>
    <ds:schemaRef ds:uri="http://schemas.microsoft.com/sharepoint/v3/contenttype/forms"/>
  </ds:schemaRefs>
</ds:datastoreItem>
</file>

<file path=customXml/itemProps3.xml><?xml version="1.0" encoding="utf-8"?>
<ds:datastoreItem xmlns:ds="http://schemas.openxmlformats.org/officeDocument/2006/customXml" ds:itemID="{2DE0B00C-3928-4ADC-8E49-25AF2A1EE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6971C-1B7B-4E3B-AED3-13F5CB8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lebrun</dc:creator>
  <cp:lastModifiedBy>francois satin</cp:lastModifiedBy>
  <cp:revision>23</cp:revision>
  <dcterms:created xsi:type="dcterms:W3CDTF">2021-09-10T10:54:00Z</dcterms:created>
  <dcterms:modified xsi:type="dcterms:W3CDTF">2021-09-14T03:36:00Z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0x010100C6AFC8EF45BE8D49AFAB99EE402F0CBD</vt:lpwstr>
  </property>
</Properties>
</file>